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74E30" w14:textId="77777777" w:rsidR="006102D6" w:rsidRDefault="006102D6">
      <w:pPr>
        <w:rPr>
          <w:rFonts w:ascii="Arial" w:hAnsi="Arial" w:cs="Arial"/>
          <w:sz w:val="28"/>
          <w:szCs w:val="28"/>
        </w:rPr>
      </w:pPr>
    </w:p>
    <w:p w14:paraId="218407EC" w14:textId="51DFE40F" w:rsidR="004E4BBA" w:rsidRPr="002C3946" w:rsidRDefault="00E9218B">
      <w:pPr>
        <w:rPr>
          <w:b/>
        </w:rPr>
      </w:pPr>
      <w:r>
        <w:rPr>
          <w:b/>
        </w:rPr>
        <w:t>Persbericht 19</w:t>
      </w:r>
      <w:r w:rsidR="000E5938">
        <w:rPr>
          <w:b/>
        </w:rPr>
        <w:t xml:space="preserve"> februari</w:t>
      </w:r>
      <w:r w:rsidR="001113BA">
        <w:rPr>
          <w:b/>
        </w:rPr>
        <w:t xml:space="preserve"> 2018</w:t>
      </w:r>
    </w:p>
    <w:p w14:paraId="6130BC94" w14:textId="77777777" w:rsidR="004E4BBA" w:rsidRPr="002C3946" w:rsidRDefault="004E4BBA"/>
    <w:p w14:paraId="06A3C14F" w14:textId="77777777" w:rsidR="001113BA" w:rsidRDefault="001113BA" w:rsidP="006D4282">
      <w:pPr>
        <w:jc w:val="center"/>
        <w:rPr>
          <w:sz w:val="36"/>
        </w:rPr>
      </w:pPr>
    </w:p>
    <w:p w14:paraId="1ED15AED" w14:textId="3D95F61B" w:rsidR="00E9218B" w:rsidRDefault="00C90CA2" w:rsidP="006D4282">
      <w:pPr>
        <w:jc w:val="center"/>
        <w:rPr>
          <w:sz w:val="36"/>
        </w:rPr>
      </w:pPr>
      <w:r>
        <w:rPr>
          <w:sz w:val="36"/>
        </w:rPr>
        <w:t>“</w:t>
      </w:r>
      <w:r w:rsidR="00E9218B">
        <w:rPr>
          <w:sz w:val="36"/>
        </w:rPr>
        <w:t xml:space="preserve">Het </w:t>
      </w:r>
      <w:bookmarkStart w:id="0" w:name="_Hlk506466748"/>
      <w:r w:rsidR="00E9218B">
        <w:rPr>
          <w:sz w:val="36"/>
        </w:rPr>
        <w:t xml:space="preserve">Centrum voor Cybersecurity België </w:t>
      </w:r>
      <w:bookmarkEnd w:id="0"/>
      <w:r w:rsidR="00E9218B">
        <w:rPr>
          <w:sz w:val="36"/>
        </w:rPr>
        <w:t>bouwt ve</w:t>
      </w:r>
      <w:r>
        <w:rPr>
          <w:sz w:val="36"/>
        </w:rPr>
        <w:t>rder aan een cyberveilig België”</w:t>
      </w:r>
    </w:p>
    <w:p w14:paraId="5DD16032" w14:textId="023B6DDF" w:rsidR="00E9218B" w:rsidRDefault="00E9218B" w:rsidP="00E9218B">
      <w:pPr>
        <w:rPr>
          <w:sz w:val="36"/>
        </w:rPr>
      </w:pPr>
    </w:p>
    <w:p w14:paraId="7F817AF5" w14:textId="77777777" w:rsidR="00C90CA2" w:rsidRPr="00C90CA2" w:rsidRDefault="00C90CA2" w:rsidP="00E9218B">
      <w:pPr>
        <w:rPr>
          <w:b/>
          <w:sz w:val="28"/>
        </w:rPr>
      </w:pPr>
      <w:bookmarkStart w:id="1" w:name="_GoBack"/>
      <w:r w:rsidRPr="00C90CA2">
        <w:rPr>
          <w:b/>
          <w:sz w:val="28"/>
        </w:rPr>
        <w:t>2.5 jaar CCB - een overzicht</w:t>
      </w:r>
    </w:p>
    <w:p w14:paraId="7B670059" w14:textId="18A6176E" w:rsidR="0094551B" w:rsidRDefault="0094551B" w:rsidP="00E9218B">
      <w:pPr>
        <w:rPr>
          <w:sz w:val="22"/>
          <w:szCs w:val="22"/>
        </w:rPr>
      </w:pPr>
      <w:r>
        <w:rPr>
          <w:sz w:val="22"/>
          <w:szCs w:val="22"/>
        </w:rPr>
        <w:t>In juli 2015 werd het Centrum voor Cybersecurity België opgericht. Het centrum is nog in volle opbouwfase maar kan vandaag al heel wat realisaties en nieuwe plannen voorleggen.</w:t>
      </w:r>
      <w:r w:rsidR="00EC4F8B">
        <w:rPr>
          <w:sz w:val="22"/>
          <w:szCs w:val="22"/>
        </w:rPr>
        <w:t xml:space="preserve"> </w:t>
      </w:r>
      <w:r w:rsidR="00C709C0">
        <w:rPr>
          <w:sz w:val="22"/>
          <w:szCs w:val="22"/>
        </w:rPr>
        <w:t>De aanwerving</w:t>
      </w:r>
      <w:r w:rsidR="00EC4F8B">
        <w:rPr>
          <w:sz w:val="22"/>
          <w:szCs w:val="22"/>
        </w:rPr>
        <w:t xml:space="preserve"> van het nodige personeel om </w:t>
      </w:r>
      <w:r w:rsidR="00D2647A">
        <w:rPr>
          <w:sz w:val="22"/>
          <w:szCs w:val="22"/>
        </w:rPr>
        <w:t>de</w:t>
      </w:r>
      <w:r w:rsidR="00EC4F8B">
        <w:rPr>
          <w:sz w:val="22"/>
          <w:szCs w:val="22"/>
        </w:rPr>
        <w:t xml:space="preserve"> doelstellingen te realiseren was </w:t>
      </w:r>
      <w:r w:rsidR="00C709C0">
        <w:rPr>
          <w:sz w:val="22"/>
          <w:szCs w:val="22"/>
        </w:rPr>
        <w:t xml:space="preserve">dan ook </w:t>
      </w:r>
      <w:r w:rsidR="00EC4F8B">
        <w:rPr>
          <w:sz w:val="22"/>
          <w:szCs w:val="22"/>
        </w:rPr>
        <w:t>een belangrijk project.</w:t>
      </w:r>
    </w:p>
    <w:p w14:paraId="4B47383D" w14:textId="77777777" w:rsidR="0094551B" w:rsidRDefault="0094551B" w:rsidP="00E9218B">
      <w:pPr>
        <w:rPr>
          <w:sz w:val="22"/>
          <w:szCs w:val="22"/>
        </w:rPr>
      </w:pPr>
    </w:p>
    <w:p w14:paraId="66421DD9" w14:textId="36DD85B8" w:rsidR="005C0947" w:rsidRDefault="005A4DC9" w:rsidP="00E9218B">
      <w:pPr>
        <w:rPr>
          <w:sz w:val="22"/>
          <w:szCs w:val="22"/>
        </w:rPr>
      </w:pPr>
      <w:r>
        <w:rPr>
          <w:sz w:val="22"/>
          <w:szCs w:val="22"/>
        </w:rPr>
        <w:t xml:space="preserve">Het </w:t>
      </w:r>
      <w:r w:rsidR="00A15293">
        <w:rPr>
          <w:sz w:val="22"/>
          <w:szCs w:val="22"/>
        </w:rPr>
        <w:t>CCB</w:t>
      </w:r>
      <w:r>
        <w:rPr>
          <w:sz w:val="22"/>
          <w:szCs w:val="22"/>
        </w:rPr>
        <w:t xml:space="preserve"> telt momenteel </w:t>
      </w:r>
      <w:r w:rsidRPr="00B11FF2">
        <w:rPr>
          <w:b/>
          <w:sz w:val="22"/>
          <w:szCs w:val="22"/>
        </w:rPr>
        <w:t>10 medewerkers</w:t>
      </w:r>
      <w:r>
        <w:rPr>
          <w:sz w:val="22"/>
          <w:szCs w:val="22"/>
        </w:rPr>
        <w:t>: een directeur en adjunct-directrice, 4 project managers, een juridisch adviseur, een communicatieverantwoordelijke en twee office managers.</w:t>
      </w:r>
    </w:p>
    <w:p w14:paraId="620E59E8" w14:textId="715FAB15" w:rsidR="005A4DC9" w:rsidRDefault="005A4DC9" w:rsidP="00E9218B">
      <w:pPr>
        <w:rPr>
          <w:sz w:val="22"/>
          <w:szCs w:val="22"/>
        </w:rPr>
      </w:pPr>
    </w:p>
    <w:p w14:paraId="08A555BF" w14:textId="6171BB76" w:rsidR="005A4DC9" w:rsidRDefault="005A4DC9" w:rsidP="000B2951">
      <w:pPr>
        <w:rPr>
          <w:sz w:val="22"/>
          <w:szCs w:val="22"/>
        </w:rPr>
      </w:pPr>
      <w:r>
        <w:rPr>
          <w:sz w:val="22"/>
          <w:szCs w:val="22"/>
        </w:rPr>
        <w:t xml:space="preserve">In januari 2017 werd het </w:t>
      </w:r>
      <w:r w:rsidRPr="00010728">
        <w:rPr>
          <w:sz w:val="22"/>
          <w:szCs w:val="22"/>
        </w:rPr>
        <w:t>nationale Computer Emergency Response Team (CERT) onder het bestuur van het CCB geplaatst</w:t>
      </w:r>
      <w:r w:rsidR="00EC4F8B">
        <w:rPr>
          <w:sz w:val="22"/>
          <w:szCs w:val="22"/>
        </w:rPr>
        <w:t xml:space="preserve">. </w:t>
      </w:r>
    </w:p>
    <w:p w14:paraId="7E334AD2" w14:textId="49D73B35" w:rsidR="005A4DC9" w:rsidRDefault="005A4DC9" w:rsidP="00E9218B">
      <w:pPr>
        <w:rPr>
          <w:sz w:val="22"/>
          <w:szCs w:val="22"/>
        </w:rPr>
      </w:pPr>
    </w:p>
    <w:p w14:paraId="10F6A81E" w14:textId="6B5FA481" w:rsidR="005A4DC9" w:rsidRDefault="005A4DC9" w:rsidP="000B2951">
      <w:pPr>
        <w:rPr>
          <w:sz w:val="22"/>
          <w:szCs w:val="22"/>
        </w:rPr>
      </w:pPr>
      <w:r w:rsidRPr="000112DB">
        <w:rPr>
          <w:sz w:val="22"/>
          <w:szCs w:val="22"/>
        </w:rPr>
        <w:t>Om de opdrachten van CERT.be goed te kunnen uitoefenen heeft het CCB in 2017 he</w:t>
      </w:r>
      <w:r>
        <w:rPr>
          <w:sz w:val="22"/>
          <w:szCs w:val="22"/>
        </w:rPr>
        <w:t xml:space="preserve">el wat </w:t>
      </w:r>
      <w:r w:rsidR="00C709C0">
        <w:rPr>
          <w:sz w:val="22"/>
          <w:szCs w:val="22"/>
        </w:rPr>
        <w:t xml:space="preserve">medewerkers </w:t>
      </w:r>
      <w:r>
        <w:rPr>
          <w:sz w:val="22"/>
          <w:szCs w:val="22"/>
        </w:rPr>
        <w:t xml:space="preserve">aangetrokken. </w:t>
      </w:r>
      <w:r w:rsidRPr="000112DB">
        <w:rPr>
          <w:sz w:val="22"/>
          <w:szCs w:val="22"/>
        </w:rPr>
        <w:t xml:space="preserve">Eind 2017 telde CERT.be een </w:t>
      </w:r>
      <w:r w:rsidR="001E0972">
        <w:rPr>
          <w:sz w:val="22"/>
          <w:szCs w:val="22"/>
        </w:rPr>
        <w:t>20-tal</w:t>
      </w:r>
      <w:r w:rsidR="001E0972" w:rsidRPr="000112DB">
        <w:rPr>
          <w:sz w:val="22"/>
          <w:szCs w:val="22"/>
        </w:rPr>
        <w:t xml:space="preserve"> </w:t>
      </w:r>
      <w:r>
        <w:rPr>
          <w:sz w:val="22"/>
          <w:szCs w:val="22"/>
        </w:rPr>
        <w:t>personeelsleden waaronder een directeur, een program manager, een technology advisor, een communicatieverantwoordelijke, cyberanalisten en – experten, en een office manager.</w:t>
      </w:r>
    </w:p>
    <w:p w14:paraId="3D8449E0" w14:textId="77777777" w:rsidR="00515468" w:rsidRDefault="00515468" w:rsidP="000B2951">
      <w:pPr>
        <w:rPr>
          <w:sz w:val="22"/>
          <w:szCs w:val="22"/>
        </w:rPr>
      </w:pPr>
    </w:p>
    <w:p w14:paraId="61072A48" w14:textId="0730B32B" w:rsidR="005A4DC9" w:rsidRDefault="005A4DC9" w:rsidP="005A4DC9">
      <w:pPr>
        <w:rPr>
          <w:sz w:val="22"/>
          <w:szCs w:val="22"/>
        </w:rPr>
      </w:pPr>
      <w:r w:rsidRPr="000112DB">
        <w:rPr>
          <w:sz w:val="22"/>
          <w:szCs w:val="22"/>
        </w:rPr>
        <w:t xml:space="preserve">De laatste </w:t>
      </w:r>
      <w:r w:rsidR="00C709C0">
        <w:rPr>
          <w:sz w:val="22"/>
          <w:szCs w:val="22"/>
        </w:rPr>
        <w:t xml:space="preserve">aanwervingen </w:t>
      </w:r>
      <w:r w:rsidR="00515468">
        <w:rPr>
          <w:sz w:val="22"/>
          <w:szCs w:val="22"/>
        </w:rPr>
        <w:t>worden momenteel gefinaliseerd,</w:t>
      </w:r>
      <w:r w:rsidRPr="000112DB">
        <w:rPr>
          <w:sz w:val="22"/>
          <w:szCs w:val="22"/>
        </w:rPr>
        <w:t xml:space="preserve"> CERT.b</w:t>
      </w:r>
      <w:r>
        <w:rPr>
          <w:sz w:val="22"/>
          <w:szCs w:val="22"/>
        </w:rPr>
        <w:t xml:space="preserve">e zal dan </w:t>
      </w:r>
      <w:r w:rsidR="00EC4F8B">
        <w:rPr>
          <w:sz w:val="22"/>
          <w:szCs w:val="22"/>
        </w:rPr>
        <w:t>24 medewerkers tellen.</w:t>
      </w:r>
    </w:p>
    <w:p w14:paraId="44F554C4" w14:textId="4829BC6A" w:rsidR="00B11FF2" w:rsidRDefault="000B2951" w:rsidP="000B2951">
      <w:pPr>
        <w:rPr>
          <w:sz w:val="22"/>
          <w:szCs w:val="22"/>
        </w:rPr>
      </w:pPr>
      <w:r>
        <w:rPr>
          <w:sz w:val="22"/>
          <w:szCs w:val="22"/>
        </w:rPr>
        <w:t>Bovendien heeft d</w:t>
      </w:r>
      <w:r w:rsidR="005A4DC9" w:rsidRPr="000B2951">
        <w:rPr>
          <w:sz w:val="22"/>
          <w:szCs w:val="22"/>
        </w:rPr>
        <w:t xml:space="preserve">e regering besloten om </w:t>
      </w:r>
      <w:r w:rsidRPr="000B2951">
        <w:rPr>
          <w:sz w:val="22"/>
          <w:szCs w:val="22"/>
        </w:rPr>
        <w:t xml:space="preserve">CERT.be verder uit te breiden </w:t>
      </w:r>
      <w:r w:rsidR="00EC4F8B">
        <w:rPr>
          <w:sz w:val="22"/>
          <w:szCs w:val="22"/>
        </w:rPr>
        <w:t xml:space="preserve">tot </w:t>
      </w:r>
      <w:r w:rsidRPr="00B11FF2">
        <w:rPr>
          <w:b/>
          <w:sz w:val="22"/>
          <w:szCs w:val="22"/>
        </w:rPr>
        <w:t xml:space="preserve">36 </w:t>
      </w:r>
      <w:r w:rsidR="00EC4F8B">
        <w:rPr>
          <w:b/>
          <w:sz w:val="22"/>
          <w:szCs w:val="22"/>
        </w:rPr>
        <w:t xml:space="preserve">experts </w:t>
      </w:r>
      <w:r w:rsidRPr="00B11FF2">
        <w:rPr>
          <w:b/>
          <w:sz w:val="22"/>
          <w:szCs w:val="22"/>
        </w:rPr>
        <w:t>in 2019</w:t>
      </w:r>
      <w:r w:rsidR="00B11FF2">
        <w:rPr>
          <w:sz w:val="22"/>
          <w:szCs w:val="22"/>
        </w:rPr>
        <w:t>.</w:t>
      </w:r>
    </w:p>
    <w:p w14:paraId="396E256A" w14:textId="789F8ABA" w:rsidR="005A4DC9" w:rsidRPr="000B2951" w:rsidRDefault="005A4DC9" w:rsidP="000B2951">
      <w:pPr>
        <w:rPr>
          <w:sz w:val="22"/>
          <w:szCs w:val="22"/>
        </w:rPr>
      </w:pPr>
    </w:p>
    <w:p w14:paraId="519E1C6A" w14:textId="5308F4E0" w:rsidR="005A4DC9" w:rsidRPr="000B2951" w:rsidRDefault="001E0972" w:rsidP="000B2951">
      <w:pPr>
        <w:rPr>
          <w:sz w:val="22"/>
          <w:szCs w:val="22"/>
        </w:rPr>
      </w:pPr>
      <w:r>
        <w:rPr>
          <w:sz w:val="22"/>
          <w:szCs w:val="22"/>
        </w:rPr>
        <w:t>In de 2</w:t>
      </w:r>
      <w:r w:rsidRPr="00EC4F8B">
        <w:rPr>
          <w:sz w:val="22"/>
          <w:szCs w:val="22"/>
          <w:vertAlign w:val="superscript"/>
        </w:rPr>
        <w:t>de</w:t>
      </w:r>
      <w:r>
        <w:rPr>
          <w:sz w:val="22"/>
          <w:szCs w:val="22"/>
        </w:rPr>
        <w:t xml:space="preserve"> helft van 2018 zal </w:t>
      </w:r>
      <w:r w:rsidR="005A4DC9" w:rsidRPr="000B2951">
        <w:rPr>
          <w:sz w:val="22"/>
          <w:szCs w:val="22"/>
        </w:rPr>
        <w:t xml:space="preserve">CERT.be </w:t>
      </w:r>
      <w:r>
        <w:rPr>
          <w:sz w:val="22"/>
          <w:szCs w:val="22"/>
        </w:rPr>
        <w:t>24</w:t>
      </w:r>
      <w:r w:rsidRPr="000B2951">
        <w:rPr>
          <w:sz w:val="22"/>
          <w:szCs w:val="22"/>
        </w:rPr>
        <w:t xml:space="preserve"> </w:t>
      </w:r>
      <w:r w:rsidR="005A4DC9" w:rsidRPr="000B2951">
        <w:rPr>
          <w:sz w:val="22"/>
          <w:szCs w:val="22"/>
        </w:rPr>
        <w:t xml:space="preserve">uur per dag </w:t>
      </w:r>
      <w:r w:rsidR="002A6858">
        <w:rPr>
          <w:sz w:val="22"/>
          <w:szCs w:val="22"/>
        </w:rPr>
        <w:t xml:space="preserve">beschikbaar zijn </w:t>
      </w:r>
      <w:r w:rsidR="00EC4F8B">
        <w:rPr>
          <w:sz w:val="22"/>
          <w:szCs w:val="22"/>
        </w:rPr>
        <w:t>voor</w:t>
      </w:r>
      <w:r w:rsidR="002A6858">
        <w:rPr>
          <w:sz w:val="22"/>
          <w:szCs w:val="22"/>
        </w:rPr>
        <w:t xml:space="preserve"> </w:t>
      </w:r>
      <w:r w:rsidR="005A4DC9" w:rsidRPr="000B2951">
        <w:rPr>
          <w:sz w:val="22"/>
          <w:szCs w:val="22"/>
        </w:rPr>
        <w:t>bedrijven en vitale sectoren</w:t>
      </w:r>
      <w:r w:rsidR="00C709C0">
        <w:rPr>
          <w:sz w:val="22"/>
          <w:szCs w:val="22"/>
        </w:rPr>
        <w:t>, dit</w:t>
      </w:r>
      <w:r>
        <w:rPr>
          <w:sz w:val="22"/>
          <w:szCs w:val="22"/>
        </w:rPr>
        <w:t xml:space="preserve"> om aan een bestaande behoefte te beantwoorden en om vragen tijdig te verwerken</w:t>
      </w:r>
      <w:r w:rsidR="005A4DC9" w:rsidRPr="000B2951">
        <w:rPr>
          <w:sz w:val="22"/>
          <w:szCs w:val="22"/>
        </w:rPr>
        <w:t xml:space="preserve">. </w:t>
      </w:r>
    </w:p>
    <w:p w14:paraId="6EE0024F" w14:textId="77777777" w:rsidR="005D2515" w:rsidRPr="00E9218B" w:rsidRDefault="005D2515" w:rsidP="005A4DC9"/>
    <w:p w14:paraId="0C14C496" w14:textId="77777777" w:rsidR="005D2515" w:rsidRDefault="005D2515" w:rsidP="005D2515">
      <w:r>
        <w:t xml:space="preserve">Twee en een half jaar CCB zijn niet onopgemerkt voorbij gegaan en de inspanningen worden nog versterkt. </w:t>
      </w:r>
    </w:p>
    <w:bookmarkEnd w:id="1"/>
    <w:p w14:paraId="2911134F" w14:textId="3A299B7C" w:rsidR="00C90CA2" w:rsidRDefault="00C90CA2"/>
    <w:p w14:paraId="306A67F6" w14:textId="3D8EC464" w:rsidR="00C90CA2" w:rsidRDefault="00C90CA2">
      <w:r>
        <w:br w:type="page"/>
      </w:r>
    </w:p>
    <w:p w14:paraId="7CC12DFC" w14:textId="4F13EF44" w:rsidR="00C90CA2" w:rsidRPr="00E908EA" w:rsidRDefault="00C90CA2" w:rsidP="00C90CA2">
      <w:pPr>
        <w:rPr>
          <w:sz w:val="28"/>
        </w:rPr>
      </w:pPr>
      <w:r w:rsidRPr="00C90CA2">
        <w:rPr>
          <w:b/>
          <w:sz w:val="28"/>
        </w:rPr>
        <w:lastRenderedPageBreak/>
        <w:t xml:space="preserve">CIJFERS IN DE KIJKER: </w:t>
      </w:r>
      <w:r w:rsidRPr="00C90CA2">
        <w:rPr>
          <w:sz w:val="28"/>
        </w:rPr>
        <w:t xml:space="preserve"> </w:t>
      </w:r>
    </w:p>
    <w:p w14:paraId="26B702C2" w14:textId="743E191E" w:rsidR="002A6858" w:rsidRPr="002A6858" w:rsidRDefault="002A6858" w:rsidP="002A6858">
      <w:pPr>
        <w:numPr>
          <w:ilvl w:val="0"/>
          <w:numId w:val="13"/>
        </w:numPr>
        <w:contextualSpacing/>
        <w:rPr>
          <w:b/>
          <w:sz w:val="22"/>
          <w:szCs w:val="22"/>
        </w:rPr>
      </w:pPr>
      <w:r w:rsidRPr="002A6858">
        <w:rPr>
          <w:sz w:val="22"/>
          <w:szCs w:val="22"/>
        </w:rPr>
        <w:t>Uitbreiding CCB en CERT.be naar in totaal</w:t>
      </w:r>
      <w:r>
        <w:rPr>
          <w:b/>
          <w:sz w:val="22"/>
          <w:szCs w:val="22"/>
        </w:rPr>
        <w:t xml:space="preserve"> 34 </w:t>
      </w:r>
      <w:r w:rsidR="009046BA">
        <w:rPr>
          <w:b/>
          <w:sz w:val="22"/>
          <w:szCs w:val="22"/>
        </w:rPr>
        <w:t>medewerkers</w:t>
      </w:r>
      <w:r>
        <w:rPr>
          <w:b/>
          <w:sz w:val="22"/>
          <w:szCs w:val="22"/>
        </w:rPr>
        <w:br/>
      </w:r>
    </w:p>
    <w:p w14:paraId="0DDB8BD3" w14:textId="693EBBC9" w:rsidR="00C90CA2" w:rsidRPr="002A6858" w:rsidRDefault="00C90CA2" w:rsidP="002A6858">
      <w:pPr>
        <w:numPr>
          <w:ilvl w:val="0"/>
          <w:numId w:val="13"/>
        </w:numPr>
        <w:contextualSpacing/>
        <w:rPr>
          <w:b/>
          <w:sz w:val="22"/>
          <w:szCs w:val="22"/>
        </w:rPr>
      </w:pPr>
      <w:r w:rsidRPr="002A6858">
        <w:t xml:space="preserve">In 2017 organiseerde het CCB </w:t>
      </w:r>
      <w:r w:rsidR="002A6858" w:rsidRPr="002A6858">
        <w:rPr>
          <w:b/>
        </w:rPr>
        <w:t>36</w:t>
      </w:r>
      <w:r w:rsidR="002A6858">
        <w:t xml:space="preserve"> </w:t>
      </w:r>
      <w:r w:rsidRPr="002A6858">
        <w:t xml:space="preserve">cyberveiligheidsopleidingen binnen de overheid: </w:t>
      </w:r>
      <w:r w:rsidRPr="002A6858">
        <w:rPr>
          <w:b/>
        </w:rPr>
        <w:t>437</w:t>
      </w:r>
      <w:r w:rsidRPr="002A6858">
        <w:t xml:space="preserve"> ambtenaren</w:t>
      </w:r>
      <w:r w:rsidR="002A6858">
        <w:t xml:space="preserve"> namen deel</w:t>
      </w:r>
      <w:r w:rsidRPr="002A6858">
        <w:t>.</w:t>
      </w:r>
      <w:r w:rsidR="00987595" w:rsidRPr="002A6858">
        <w:rPr>
          <w:b/>
          <w:sz w:val="22"/>
          <w:szCs w:val="22"/>
        </w:rPr>
        <w:br/>
      </w:r>
    </w:p>
    <w:p w14:paraId="1B76CE69" w14:textId="77777777" w:rsidR="00C90CA2" w:rsidRPr="00C90CA2" w:rsidRDefault="00C90CA2" w:rsidP="00C90CA2">
      <w:pPr>
        <w:numPr>
          <w:ilvl w:val="0"/>
          <w:numId w:val="13"/>
        </w:numPr>
        <w:contextualSpacing/>
      </w:pPr>
      <w:r w:rsidRPr="00C90CA2">
        <w:t xml:space="preserve">De campagne tegen phishing is opgepikt door ongeveer </w:t>
      </w:r>
      <w:r w:rsidRPr="002A6858">
        <w:rPr>
          <w:b/>
        </w:rPr>
        <w:t>2 miljoen</w:t>
      </w:r>
      <w:r w:rsidRPr="00C90CA2">
        <w:t xml:space="preserve"> internetgebruikers</w:t>
      </w:r>
    </w:p>
    <w:p w14:paraId="37D9628B" w14:textId="725623A1" w:rsidR="00C90CA2" w:rsidRPr="00C90CA2" w:rsidRDefault="00C90CA2" w:rsidP="00C90CA2">
      <w:pPr>
        <w:numPr>
          <w:ilvl w:val="0"/>
          <w:numId w:val="13"/>
        </w:numPr>
        <w:contextualSpacing/>
      </w:pPr>
      <w:r w:rsidRPr="002A6858">
        <w:rPr>
          <w:b/>
        </w:rPr>
        <w:t>150.000 berichten</w:t>
      </w:r>
      <w:r w:rsidRPr="00C90CA2">
        <w:t xml:space="preserve"> verstuurd naar </w:t>
      </w:r>
      <w:hyperlink r:id="rId11" w:history="1">
        <w:r w:rsidRPr="00C90CA2">
          <w:rPr>
            <w:color w:val="0000FF" w:themeColor="hyperlink"/>
            <w:u w:val="single"/>
          </w:rPr>
          <w:t>verdacht@safeonweb.be</w:t>
        </w:r>
      </w:hyperlink>
    </w:p>
    <w:p w14:paraId="6B433F2D" w14:textId="77777777" w:rsidR="00C90CA2" w:rsidRDefault="00C90CA2" w:rsidP="00C90CA2">
      <w:pPr>
        <w:ind w:left="1065"/>
        <w:contextualSpacing/>
      </w:pPr>
    </w:p>
    <w:p w14:paraId="1A0E1E7A" w14:textId="6A9F4382" w:rsidR="00C90CA2" w:rsidRPr="00C90CA2" w:rsidRDefault="00C90CA2" w:rsidP="00C90CA2">
      <w:pPr>
        <w:numPr>
          <w:ilvl w:val="1"/>
          <w:numId w:val="13"/>
        </w:numPr>
        <w:contextualSpacing/>
      </w:pPr>
      <w:r w:rsidRPr="002A6858">
        <w:rPr>
          <w:b/>
        </w:rPr>
        <w:t>9%</w:t>
      </w:r>
      <w:r w:rsidRPr="00C90CA2">
        <w:t xml:space="preserve"> van de internetgebruikers verloor al eens geld door internetfraude</w:t>
      </w:r>
    </w:p>
    <w:p w14:paraId="2AB3E099" w14:textId="3CCF5D4A" w:rsidR="00C90CA2" w:rsidRDefault="00C90CA2" w:rsidP="00C90CA2">
      <w:pPr>
        <w:numPr>
          <w:ilvl w:val="1"/>
          <w:numId w:val="13"/>
        </w:numPr>
        <w:contextualSpacing/>
      </w:pPr>
      <w:r w:rsidRPr="002A6858">
        <w:rPr>
          <w:b/>
        </w:rPr>
        <w:t>65%</w:t>
      </w:r>
      <w:r w:rsidRPr="00C90CA2">
        <w:t xml:space="preserve"> van de internetgebruikers zegt het afgelopen jaar een verdacht bericht ontvangen te hebben met de vraag om op een link te klikken of een bijlage te openen</w:t>
      </w:r>
      <w:r w:rsidR="00987595">
        <w:br/>
      </w:r>
    </w:p>
    <w:p w14:paraId="570CA274" w14:textId="68A72775" w:rsidR="00987595" w:rsidRDefault="00987595" w:rsidP="00987595">
      <w:pPr>
        <w:numPr>
          <w:ilvl w:val="0"/>
          <w:numId w:val="13"/>
        </w:numPr>
        <w:contextualSpacing/>
      </w:pPr>
      <w:r>
        <w:t>Nieuwe online referentiegids rond cyberveiligheid met</w:t>
      </w:r>
      <w:r w:rsidRPr="00987595">
        <w:t xml:space="preserve"> zowel basisvoorzieningen als meer geavanceerde acties, gebundeld in </w:t>
      </w:r>
      <w:r w:rsidRPr="002A6858">
        <w:rPr>
          <w:b/>
        </w:rPr>
        <w:t>4 categorieën</w:t>
      </w:r>
      <w:r>
        <w:t xml:space="preserve"> en meer dan </w:t>
      </w:r>
      <w:r w:rsidRPr="002A6858">
        <w:rPr>
          <w:b/>
        </w:rPr>
        <w:t>150 maatregelen</w:t>
      </w:r>
      <w:r>
        <w:br/>
      </w:r>
    </w:p>
    <w:p w14:paraId="272BE53A" w14:textId="5F1B9A15" w:rsidR="00987595" w:rsidRDefault="00987595" w:rsidP="00987595">
      <w:pPr>
        <w:pStyle w:val="ListParagraph"/>
        <w:numPr>
          <w:ilvl w:val="1"/>
          <w:numId w:val="13"/>
        </w:numPr>
      </w:pPr>
      <w:r>
        <w:t xml:space="preserve">In 2016 werd </w:t>
      </w:r>
      <w:r w:rsidRPr="002A6858">
        <w:rPr>
          <w:b/>
        </w:rPr>
        <w:t>twee derde</w:t>
      </w:r>
      <w:r>
        <w:t xml:space="preserve"> van de Belgische bedrijven slachtoffer van cybercriminaliteit. </w:t>
      </w:r>
    </w:p>
    <w:p w14:paraId="5F513D52" w14:textId="12BAE690" w:rsidR="00987595" w:rsidRDefault="00987595" w:rsidP="00987595">
      <w:pPr>
        <w:pStyle w:val="ListParagraph"/>
        <w:numPr>
          <w:ilvl w:val="1"/>
          <w:numId w:val="13"/>
        </w:numPr>
      </w:pPr>
      <w:r>
        <w:t xml:space="preserve">Voor de meeste bedrijven bleef de schade beperkt tot een verstoring van de dagelijkse werking maar voor </w:t>
      </w:r>
      <w:r w:rsidRPr="006D37E0">
        <w:t xml:space="preserve">9% van de door cyberafpersing en –chantage getroffen bedrijven </w:t>
      </w:r>
      <w:r>
        <w:t>liep de schade</w:t>
      </w:r>
      <w:r w:rsidRPr="006D37E0">
        <w:t xml:space="preserve"> </w:t>
      </w:r>
      <w:r>
        <w:t>op tot</w:t>
      </w:r>
      <w:r w:rsidRPr="006D37E0">
        <w:t xml:space="preserve"> meer dan 10.000 euro.</w:t>
      </w:r>
      <w:r>
        <w:t xml:space="preserve"> (bcc-project.be, 29/6/2017) </w:t>
      </w:r>
    </w:p>
    <w:p w14:paraId="11D7A5FD" w14:textId="4BA7B289" w:rsidR="002A6858" w:rsidRPr="002A6858" w:rsidRDefault="002A6858" w:rsidP="002A6858">
      <w:pPr>
        <w:keepNext/>
        <w:keepLines/>
        <w:spacing w:before="240" w:line="259" w:lineRule="auto"/>
        <w:outlineLvl w:val="0"/>
        <w:rPr>
          <w:rFonts w:asciiTheme="majorHAnsi" w:eastAsiaTheme="majorEastAsia" w:hAnsiTheme="majorHAnsi" w:cstheme="majorBidi"/>
          <w:color w:val="365F91" w:themeColor="accent1" w:themeShade="BF"/>
          <w:sz w:val="32"/>
          <w:szCs w:val="32"/>
          <w:lang w:eastAsia="en-US"/>
        </w:rPr>
      </w:pPr>
      <w:r w:rsidRPr="002A6858">
        <w:rPr>
          <w:rFonts w:asciiTheme="majorHAnsi" w:eastAsiaTheme="majorEastAsia" w:hAnsiTheme="majorHAnsi" w:cstheme="majorBidi"/>
          <w:color w:val="365F91" w:themeColor="accent1" w:themeShade="BF"/>
          <w:sz w:val="32"/>
          <w:szCs w:val="32"/>
          <w:lang w:eastAsia="en-US"/>
        </w:rPr>
        <w:t>Cyberveiligheidsopleidingen binnen de overheid</w:t>
      </w:r>
    </w:p>
    <w:p w14:paraId="12B5A05A" w14:textId="3159BF7D" w:rsidR="00E908EA" w:rsidRDefault="00E908EA" w:rsidP="00E908EA">
      <w:pPr>
        <w:rPr>
          <w:lang w:eastAsia="en-US"/>
        </w:rPr>
      </w:pPr>
      <w:bookmarkStart w:id="2" w:name="_Hlk506549295"/>
      <w:r>
        <w:rPr>
          <w:lang w:eastAsia="en-US"/>
        </w:rPr>
        <w:t xml:space="preserve">In 2017 voorzag het Centrum voor Cybersecurity België 36 verschillende opleidingen in cyberveiligheid, voorzien voor 437 ambtenaren. </w:t>
      </w:r>
    </w:p>
    <w:p w14:paraId="51640D38" w14:textId="77777777" w:rsidR="00E908EA" w:rsidRDefault="00E908EA" w:rsidP="00E908EA">
      <w:pPr>
        <w:rPr>
          <w:lang w:eastAsia="en-US"/>
        </w:rPr>
      </w:pPr>
    </w:p>
    <w:p w14:paraId="0464D657" w14:textId="47DF9BD6" w:rsidR="00E908EA" w:rsidRDefault="00E908EA" w:rsidP="00E908EA">
      <w:pPr>
        <w:rPr>
          <w:lang w:eastAsia="en-US"/>
        </w:rPr>
      </w:pPr>
      <w:r>
        <w:rPr>
          <w:lang w:eastAsia="en-US"/>
        </w:rPr>
        <w:t xml:space="preserve">Deelnemers die een opleiding volgden kwamen uit volgende overheidsorganisaties: </w:t>
      </w:r>
      <w:r>
        <w:rPr>
          <w:lang w:eastAsia="en-US"/>
        </w:rPr>
        <w:br/>
      </w:r>
    </w:p>
    <w:p w14:paraId="32104765" w14:textId="4292B576" w:rsidR="00E908EA" w:rsidRPr="00E908EA" w:rsidRDefault="00E908EA" w:rsidP="00E908EA">
      <w:pPr>
        <w:rPr>
          <w:color w:val="000000"/>
        </w:rPr>
        <w:sectPr w:rsidR="00E908EA" w:rsidRPr="00E908EA" w:rsidSect="009817E7">
          <w:headerReference w:type="default" r:id="rId12"/>
          <w:pgSz w:w="11900" w:h="16840"/>
          <w:pgMar w:top="1417" w:right="1417" w:bottom="1417" w:left="1417" w:header="708" w:footer="708" w:gutter="0"/>
          <w:cols w:space="708"/>
          <w:docGrid w:linePitch="360"/>
        </w:sectPr>
      </w:pPr>
    </w:p>
    <w:tbl>
      <w:tblPr>
        <w:tblW w:w="5670" w:type="dxa"/>
        <w:tblInd w:w="-426" w:type="dxa"/>
        <w:tblCellMar>
          <w:left w:w="0" w:type="dxa"/>
          <w:right w:w="0" w:type="dxa"/>
        </w:tblCellMar>
        <w:tblLook w:val="04A0" w:firstRow="1" w:lastRow="0" w:firstColumn="1" w:lastColumn="0" w:noHBand="0" w:noVBand="1"/>
      </w:tblPr>
      <w:tblGrid>
        <w:gridCol w:w="5670"/>
      </w:tblGrid>
      <w:tr w:rsidR="00E908EA" w14:paraId="55B879C1" w14:textId="77777777" w:rsidTr="00495700">
        <w:trPr>
          <w:trHeight w:val="288"/>
        </w:trPr>
        <w:tc>
          <w:tcPr>
            <w:tcW w:w="5670" w:type="dxa"/>
            <w:noWrap/>
            <w:tcMar>
              <w:top w:w="0" w:type="dxa"/>
              <w:left w:w="70" w:type="dxa"/>
              <w:bottom w:w="0" w:type="dxa"/>
              <w:right w:w="70" w:type="dxa"/>
            </w:tcMar>
            <w:vAlign w:val="bottom"/>
            <w:hideMark/>
          </w:tcPr>
          <w:p w14:paraId="2B7F825A" w14:textId="79F7CA14" w:rsidR="00E908EA" w:rsidRPr="00E908EA" w:rsidRDefault="00E908EA" w:rsidP="00E908EA">
            <w:pPr>
              <w:pStyle w:val="ListParagraph"/>
              <w:numPr>
                <w:ilvl w:val="0"/>
                <w:numId w:val="18"/>
              </w:numPr>
              <w:rPr>
                <w:color w:val="000000"/>
                <w:lang w:eastAsia="nl-BE"/>
              </w:rPr>
            </w:pPr>
            <w:r w:rsidRPr="00E908EA">
              <w:rPr>
                <w:color w:val="000000"/>
              </w:rPr>
              <w:t>FOD Kanselarij</w:t>
            </w:r>
          </w:p>
        </w:tc>
      </w:tr>
      <w:tr w:rsidR="00E908EA" w14:paraId="760C6EAD" w14:textId="77777777" w:rsidTr="00495700">
        <w:trPr>
          <w:trHeight w:val="288"/>
        </w:trPr>
        <w:tc>
          <w:tcPr>
            <w:tcW w:w="5670" w:type="dxa"/>
            <w:noWrap/>
            <w:tcMar>
              <w:top w:w="0" w:type="dxa"/>
              <w:left w:w="70" w:type="dxa"/>
              <w:bottom w:w="0" w:type="dxa"/>
              <w:right w:w="70" w:type="dxa"/>
            </w:tcMar>
            <w:vAlign w:val="bottom"/>
            <w:hideMark/>
          </w:tcPr>
          <w:p w14:paraId="2123D0C2" w14:textId="0CD89824" w:rsidR="00E908EA" w:rsidRPr="00E908EA" w:rsidRDefault="00E908EA" w:rsidP="00E908EA">
            <w:pPr>
              <w:pStyle w:val="ListParagraph"/>
              <w:numPr>
                <w:ilvl w:val="0"/>
                <w:numId w:val="18"/>
              </w:numPr>
              <w:rPr>
                <w:color w:val="000000"/>
              </w:rPr>
            </w:pPr>
            <w:r w:rsidRPr="00E908EA">
              <w:rPr>
                <w:color w:val="000000"/>
              </w:rPr>
              <w:t xml:space="preserve">FOD </w:t>
            </w:r>
            <w:r w:rsidR="00495700">
              <w:rPr>
                <w:color w:val="000000"/>
              </w:rPr>
              <w:t>W</w:t>
            </w:r>
            <w:r w:rsidRPr="00E908EA">
              <w:rPr>
                <w:color w:val="000000"/>
              </w:rPr>
              <w:t>erkgelegenheid</w:t>
            </w:r>
          </w:p>
        </w:tc>
      </w:tr>
      <w:tr w:rsidR="00E908EA" w14:paraId="2CC9AD5F" w14:textId="77777777" w:rsidTr="00495700">
        <w:trPr>
          <w:trHeight w:val="288"/>
        </w:trPr>
        <w:tc>
          <w:tcPr>
            <w:tcW w:w="5670" w:type="dxa"/>
            <w:noWrap/>
            <w:tcMar>
              <w:top w:w="0" w:type="dxa"/>
              <w:left w:w="70" w:type="dxa"/>
              <w:bottom w:w="0" w:type="dxa"/>
              <w:right w:w="70" w:type="dxa"/>
            </w:tcMar>
            <w:vAlign w:val="bottom"/>
            <w:hideMark/>
          </w:tcPr>
          <w:p w14:paraId="55FED8A2" w14:textId="32C87D53" w:rsidR="00E908EA" w:rsidRPr="00E908EA" w:rsidRDefault="00495700" w:rsidP="00E908EA">
            <w:pPr>
              <w:pStyle w:val="ListParagraph"/>
              <w:numPr>
                <w:ilvl w:val="0"/>
                <w:numId w:val="18"/>
              </w:numPr>
              <w:rPr>
                <w:color w:val="000000"/>
              </w:rPr>
            </w:pPr>
            <w:r>
              <w:rPr>
                <w:color w:val="000000"/>
              </w:rPr>
              <w:t>FOD J</w:t>
            </w:r>
            <w:r w:rsidR="00E908EA" w:rsidRPr="00E908EA">
              <w:rPr>
                <w:color w:val="000000"/>
              </w:rPr>
              <w:t>ustitie</w:t>
            </w:r>
          </w:p>
        </w:tc>
      </w:tr>
      <w:tr w:rsidR="00E908EA" w14:paraId="1AD146AC" w14:textId="77777777" w:rsidTr="00495700">
        <w:trPr>
          <w:trHeight w:val="288"/>
        </w:trPr>
        <w:tc>
          <w:tcPr>
            <w:tcW w:w="5670" w:type="dxa"/>
            <w:noWrap/>
            <w:tcMar>
              <w:top w:w="0" w:type="dxa"/>
              <w:left w:w="70" w:type="dxa"/>
              <w:bottom w:w="0" w:type="dxa"/>
              <w:right w:w="70" w:type="dxa"/>
            </w:tcMar>
            <w:vAlign w:val="bottom"/>
            <w:hideMark/>
          </w:tcPr>
          <w:p w14:paraId="500CEC47" w14:textId="0C337CF7" w:rsidR="00E908EA" w:rsidRPr="00E908EA" w:rsidRDefault="00495700" w:rsidP="00E908EA">
            <w:pPr>
              <w:pStyle w:val="ListParagraph"/>
              <w:numPr>
                <w:ilvl w:val="0"/>
                <w:numId w:val="18"/>
              </w:numPr>
              <w:rPr>
                <w:color w:val="000000"/>
              </w:rPr>
            </w:pPr>
            <w:r>
              <w:rPr>
                <w:color w:val="000000"/>
              </w:rPr>
              <w:t>FOD E</w:t>
            </w:r>
            <w:r w:rsidR="00E908EA" w:rsidRPr="00E908EA">
              <w:rPr>
                <w:color w:val="000000"/>
              </w:rPr>
              <w:t>conomie</w:t>
            </w:r>
          </w:p>
        </w:tc>
      </w:tr>
      <w:tr w:rsidR="00E908EA" w14:paraId="7961600B" w14:textId="77777777" w:rsidTr="00495700">
        <w:trPr>
          <w:trHeight w:val="288"/>
        </w:trPr>
        <w:tc>
          <w:tcPr>
            <w:tcW w:w="5670" w:type="dxa"/>
            <w:noWrap/>
            <w:tcMar>
              <w:top w:w="0" w:type="dxa"/>
              <w:left w:w="70" w:type="dxa"/>
              <w:bottom w:w="0" w:type="dxa"/>
              <w:right w:w="70" w:type="dxa"/>
            </w:tcMar>
            <w:vAlign w:val="bottom"/>
            <w:hideMark/>
          </w:tcPr>
          <w:p w14:paraId="6990F705" w14:textId="030C6205" w:rsidR="00E908EA" w:rsidRPr="00E908EA" w:rsidRDefault="00495700" w:rsidP="00E908EA">
            <w:pPr>
              <w:pStyle w:val="ListParagraph"/>
              <w:numPr>
                <w:ilvl w:val="0"/>
                <w:numId w:val="18"/>
              </w:numPr>
              <w:rPr>
                <w:color w:val="000000"/>
              </w:rPr>
            </w:pPr>
            <w:r>
              <w:rPr>
                <w:color w:val="000000"/>
              </w:rPr>
              <w:t>FOD Binnenlandse Z</w:t>
            </w:r>
            <w:r w:rsidR="00E908EA" w:rsidRPr="00E908EA">
              <w:rPr>
                <w:color w:val="000000"/>
              </w:rPr>
              <w:t>aken</w:t>
            </w:r>
          </w:p>
        </w:tc>
      </w:tr>
      <w:tr w:rsidR="00E908EA" w14:paraId="69E6EC4F" w14:textId="77777777" w:rsidTr="00495700">
        <w:trPr>
          <w:trHeight w:val="288"/>
        </w:trPr>
        <w:tc>
          <w:tcPr>
            <w:tcW w:w="5670" w:type="dxa"/>
            <w:noWrap/>
            <w:tcMar>
              <w:top w:w="0" w:type="dxa"/>
              <w:left w:w="70" w:type="dxa"/>
              <w:bottom w:w="0" w:type="dxa"/>
              <w:right w:w="70" w:type="dxa"/>
            </w:tcMar>
            <w:vAlign w:val="bottom"/>
            <w:hideMark/>
          </w:tcPr>
          <w:p w14:paraId="27AE6F0C" w14:textId="10DFEBC3" w:rsidR="00E908EA" w:rsidRPr="00E908EA" w:rsidRDefault="00495700" w:rsidP="00E908EA">
            <w:pPr>
              <w:pStyle w:val="ListParagraph"/>
              <w:numPr>
                <w:ilvl w:val="0"/>
                <w:numId w:val="18"/>
              </w:numPr>
              <w:rPr>
                <w:color w:val="000000"/>
              </w:rPr>
            </w:pPr>
            <w:r>
              <w:rPr>
                <w:color w:val="000000"/>
              </w:rPr>
              <w:t>FOD M</w:t>
            </w:r>
            <w:r w:rsidR="00E908EA" w:rsidRPr="00E908EA">
              <w:rPr>
                <w:color w:val="000000"/>
              </w:rPr>
              <w:t>obiliteit</w:t>
            </w:r>
          </w:p>
        </w:tc>
      </w:tr>
      <w:tr w:rsidR="00E908EA" w14:paraId="56E6B7B9" w14:textId="77777777" w:rsidTr="00495700">
        <w:trPr>
          <w:trHeight w:val="288"/>
        </w:trPr>
        <w:tc>
          <w:tcPr>
            <w:tcW w:w="5670" w:type="dxa"/>
            <w:noWrap/>
            <w:tcMar>
              <w:top w:w="0" w:type="dxa"/>
              <w:left w:w="70" w:type="dxa"/>
              <w:bottom w:w="0" w:type="dxa"/>
              <w:right w:w="70" w:type="dxa"/>
            </w:tcMar>
            <w:vAlign w:val="bottom"/>
            <w:hideMark/>
          </w:tcPr>
          <w:p w14:paraId="5B048171" w14:textId="77777777" w:rsidR="00E908EA" w:rsidRPr="00E908EA" w:rsidRDefault="00E908EA" w:rsidP="00E908EA">
            <w:pPr>
              <w:pStyle w:val="ListParagraph"/>
              <w:numPr>
                <w:ilvl w:val="0"/>
                <w:numId w:val="18"/>
              </w:numPr>
              <w:rPr>
                <w:color w:val="000000"/>
              </w:rPr>
            </w:pPr>
            <w:r w:rsidRPr="00E908EA">
              <w:rPr>
                <w:color w:val="000000"/>
              </w:rPr>
              <w:t>FOD Beleid en Ondersteuning</w:t>
            </w:r>
          </w:p>
        </w:tc>
      </w:tr>
      <w:tr w:rsidR="00E908EA" w14:paraId="17F892DF" w14:textId="77777777" w:rsidTr="00495700">
        <w:trPr>
          <w:trHeight w:val="576"/>
        </w:trPr>
        <w:tc>
          <w:tcPr>
            <w:tcW w:w="5670" w:type="dxa"/>
            <w:tcMar>
              <w:top w:w="0" w:type="dxa"/>
              <w:left w:w="70" w:type="dxa"/>
              <w:bottom w:w="0" w:type="dxa"/>
              <w:right w:w="70" w:type="dxa"/>
            </w:tcMar>
            <w:vAlign w:val="bottom"/>
            <w:hideMark/>
          </w:tcPr>
          <w:p w14:paraId="6C230EB8" w14:textId="77777777" w:rsidR="00E908EA" w:rsidRPr="00E908EA" w:rsidRDefault="00E908EA" w:rsidP="00E908EA">
            <w:pPr>
              <w:pStyle w:val="ListParagraph"/>
              <w:numPr>
                <w:ilvl w:val="0"/>
                <w:numId w:val="18"/>
              </w:numPr>
              <w:rPr>
                <w:color w:val="000000"/>
              </w:rPr>
            </w:pPr>
            <w:r w:rsidRPr="00E908EA">
              <w:rPr>
                <w:color w:val="000000"/>
              </w:rPr>
              <w:t>FOD Volksgezondheid, Veiligheid van de Voedselketen en Leefmilieu</w:t>
            </w:r>
          </w:p>
        </w:tc>
      </w:tr>
      <w:tr w:rsidR="00E908EA" w14:paraId="176B9388" w14:textId="77777777" w:rsidTr="00495700">
        <w:trPr>
          <w:trHeight w:val="288"/>
        </w:trPr>
        <w:tc>
          <w:tcPr>
            <w:tcW w:w="5670" w:type="dxa"/>
            <w:noWrap/>
            <w:tcMar>
              <w:top w:w="0" w:type="dxa"/>
              <w:left w:w="70" w:type="dxa"/>
              <w:bottom w:w="0" w:type="dxa"/>
              <w:right w:w="70" w:type="dxa"/>
            </w:tcMar>
            <w:vAlign w:val="bottom"/>
            <w:hideMark/>
          </w:tcPr>
          <w:p w14:paraId="36272963" w14:textId="77777777" w:rsidR="00E908EA" w:rsidRPr="00E908EA" w:rsidRDefault="00E908EA" w:rsidP="00E908EA">
            <w:pPr>
              <w:pStyle w:val="ListParagraph"/>
              <w:numPr>
                <w:ilvl w:val="0"/>
                <w:numId w:val="18"/>
              </w:numPr>
              <w:rPr>
                <w:color w:val="000000"/>
              </w:rPr>
            </w:pPr>
            <w:r w:rsidRPr="00E908EA">
              <w:rPr>
                <w:color w:val="000000"/>
              </w:rPr>
              <w:t>FOD Sociale zekerheid</w:t>
            </w:r>
          </w:p>
        </w:tc>
      </w:tr>
      <w:tr w:rsidR="00E908EA" w14:paraId="5F2D7079" w14:textId="77777777" w:rsidTr="00495700">
        <w:trPr>
          <w:trHeight w:val="288"/>
        </w:trPr>
        <w:tc>
          <w:tcPr>
            <w:tcW w:w="5670" w:type="dxa"/>
            <w:noWrap/>
            <w:tcMar>
              <w:top w:w="0" w:type="dxa"/>
              <w:left w:w="70" w:type="dxa"/>
              <w:bottom w:w="0" w:type="dxa"/>
              <w:right w:w="70" w:type="dxa"/>
            </w:tcMar>
            <w:vAlign w:val="bottom"/>
            <w:hideMark/>
          </w:tcPr>
          <w:p w14:paraId="150796B6" w14:textId="77777777" w:rsidR="00E908EA" w:rsidRPr="00E908EA" w:rsidRDefault="00E908EA" w:rsidP="00E908EA">
            <w:pPr>
              <w:pStyle w:val="ListParagraph"/>
              <w:numPr>
                <w:ilvl w:val="0"/>
                <w:numId w:val="18"/>
              </w:numPr>
              <w:rPr>
                <w:color w:val="000000"/>
              </w:rPr>
            </w:pPr>
            <w:r w:rsidRPr="00E908EA">
              <w:rPr>
                <w:color w:val="000000"/>
              </w:rPr>
              <w:t>FOD Financien</w:t>
            </w:r>
          </w:p>
        </w:tc>
      </w:tr>
      <w:tr w:rsidR="00E908EA" w14:paraId="68195F9A" w14:textId="77777777" w:rsidTr="00495700">
        <w:trPr>
          <w:trHeight w:val="288"/>
        </w:trPr>
        <w:tc>
          <w:tcPr>
            <w:tcW w:w="5670" w:type="dxa"/>
            <w:noWrap/>
            <w:tcMar>
              <w:top w:w="0" w:type="dxa"/>
              <w:left w:w="70" w:type="dxa"/>
              <w:bottom w:w="0" w:type="dxa"/>
              <w:right w:w="70" w:type="dxa"/>
            </w:tcMar>
            <w:vAlign w:val="bottom"/>
            <w:hideMark/>
          </w:tcPr>
          <w:p w14:paraId="6D40C02D" w14:textId="4C3D812D" w:rsidR="00E908EA" w:rsidRPr="00E908EA" w:rsidRDefault="00495700" w:rsidP="00E908EA">
            <w:pPr>
              <w:pStyle w:val="ListParagraph"/>
              <w:numPr>
                <w:ilvl w:val="0"/>
                <w:numId w:val="18"/>
              </w:numPr>
              <w:rPr>
                <w:color w:val="000000"/>
              </w:rPr>
            </w:pPr>
            <w:r>
              <w:rPr>
                <w:color w:val="000000"/>
              </w:rPr>
              <w:t>FOD Buitenlandse Z</w:t>
            </w:r>
            <w:r w:rsidR="00E908EA" w:rsidRPr="00E908EA">
              <w:rPr>
                <w:color w:val="000000"/>
              </w:rPr>
              <w:t>aken</w:t>
            </w:r>
          </w:p>
        </w:tc>
      </w:tr>
      <w:tr w:rsidR="00E908EA" w14:paraId="28E6ED7B" w14:textId="77777777" w:rsidTr="00495700">
        <w:trPr>
          <w:trHeight w:val="288"/>
        </w:trPr>
        <w:tc>
          <w:tcPr>
            <w:tcW w:w="5670" w:type="dxa"/>
            <w:noWrap/>
            <w:tcMar>
              <w:top w:w="0" w:type="dxa"/>
              <w:left w:w="70" w:type="dxa"/>
              <w:bottom w:w="0" w:type="dxa"/>
              <w:right w:w="70" w:type="dxa"/>
            </w:tcMar>
            <w:vAlign w:val="bottom"/>
            <w:hideMark/>
          </w:tcPr>
          <w:p w14:paraId="30758E75" w14:textId="77777777" w:rsidR="00E908EA" w:rsidRPr="00E908EA" w:rsidRDefault="00E908EA" w:rsidP="00E908EA">
            <w:pPr>
              <w:pStyle w:val="ListParagraph"/>
              <w:numPr>
                <w:ilvl w:val="0"/>
                <w:numId w:val="18"/>
              </w:numPr>
              <w:rPr>
                <w:color w:val="000000"/>
              </w:rPr>
            </w:pPr>
            <w:r w:rsidRPr="00E908EA">
              <w:rPr>
                <w:color w:val="000000"/>
              </w:rPr>
              <w:t>POD Wetenschapsbeleid</w:t>
            </w:r>
          </w:p>
        </w:tc>
      </w:tr>
      <w:tr w:rsidR="00E908EA" w14:paraId="044C87D3" w14:textId="77777777" w:rsidTr="00495700">
        <w:trPr>
          <w:trHeight w:val="576"/>
        </w:trPr>
        <w:tc>
          <w:tcPr>
            <w:tcW w:w="5670" w:type="dxa"/>
            <w:tcMar>
              <w:top w:w="0" w:type="dxa"/>
              <w:left w:w="70" w:type="dxa"/>
              <w:bottom w:w="0" w:type="dxa"/>
              <w:right w:w="70" w:type="dxa"/>
            </w:tcMar>
            <w:vAlign w:val="bottom"/>
            <w:hideMark/>
          </w:tcPr>
          <w:p w14:paraId="3E314C65" w14:textId="77777777" w:rsidR="00E908EA" w:rsidRPr="00E908EA" w:rsidRDefault="00E908EA" w:rsidP="00E908EA">
            <w:pPr>
              <w:pStyle w:val="ListParagraph"/>
              <w:numPr>
                <w:ilvl w:val="0"/>
                <w:numId w:val="18"/>
              </w:numPr>
              <w:rPr>
                <w:color w:val="000000"/>
              </w:rPr>
            </w:pPr>
            <w:r w:rsidRPr="00E908EA">
              <w:rPr>
                <w:color w:val="000000"/>
              </w:rPr>
              <w:t>POD Maatschappelijke Integratie, Armoedebestrijding, Sociale Economie en Grootstedenbeleid</w:t>
            </w:r>
          </w:p>
        </w:tc>
      </w:tr>
      <w:tr w:rsidR="00E908EA" w14:paraId="28B67A0A" w14:textId="77777777" w:rsidTr="00495700">
        <w:trPr>
          <w:trHeight w:val="288"/>
        </w:trPr>
        <w:tc>
          <w:tcPr>
            <w:tcW w:w="5670" w:type="dxa"/>
            <w:noWrap/>
            <w:tcMar>
              <w:top w:w="0" w:type="dxa"/>
              <w:left w:w="70" w:type="dxa"/>
              <w:bottom w:w="0" w:type="dxa"/>
              <w:right w:w="70" w:type="dxa"/>
            </w:tcMar>
            <w:vAlign w:val="bottom"/>
            <w:hideMark/>
          </w:tcPr>
          <w:p w14:paraId="070367EC" w14:textId="77777777" w:rsidR="00E908EA" w:rsidRPr="00E908EA" w:rsidRDefault="00E908EA" w:rsidP="00E908EA">
            <w:pPr>
              <w:pStyle w:val="ListParagraph"/>
              <w:numPr>
                <w:ilvl w:val="0"/>
                <w:numId w:val="18"/>
              </w:numPr>
              <w:rPr>
                <w:color w:val="000000"/>
              </w:rPr>
            </w:pPr>
            <w:r w:rsidRPr="00E908EA">
              <w:rPr>
                <w:color w:val="000000"/>
              </w:rPr>
              <w:t>Defensie</w:t>
            </w:r>
          </w:p>
        </w:tc>
      </w:tr>
      <w:tr w:rsidR="00E908EA" w14:paraId="431FF271" w14:textId="77777777" w:rsidTr="00495700">
        <w:trPr>
          <w:trHeight w:val="288"/>
        </w:trPr>
        <w:tc>
          <w:tcPr>
            <w:tcW w:w="5670" w:type="dxa"/>
            <w:noWrap/>
            <w:tcMar>
              <w:top w:w="0" w:type="dxa"/>
              <w:left w:w="70" w:type="dxa"/>
              <w:bottom w:w="0" w:type="dxa"/>
              <w:right w:w="70" w:type="dxa"/>
            </w:tcMar>
            <w:vAlign w:val="bottom"/>
            <w:hideMark/>
          </w:tcPr>
          <w:p w14:paraId="7B749909" w14:textId="77777777" w:rsidR="00E908EA" w:rsidRPr="00E908EA" w:rsidRDefault="00E908EA" w:rsidP="00E908EA">
            <w:pPr>
              <w:pStyle w:val="ListParagraph"/>
              <w:numPr>
                <w:ilvl w:val="0"/>
                <w:numId w:val="18"/>
              </w:numPr>
              <w:rPr>
                <w:color w:val="000000"/>
              </w:rPr>
            </w:pPr>
            <w:r w:rsidRPr="00E908EA">
              <w:rPr>
                <w:color w:val="000000"/>
              </w:rPr>
              <w:t>Federale Politie</w:t>
            </w:r>
          </w:p>
        </w:tc>
      </w:tr>
    </w:tbl>
    <w:p w14:paraId="65799A03" w14:textId="77777777" w:rsidR="00E908EA" w:rsidRDefault="00E908EA" w:rsidP="00E908EA">
      <w:pPr>
        <w:rPr>
          <w:rFonts w:ascii="Calibri" w:eastAsiaTheme="minorHAnsi" w:hAnsi="Calibri" w:cs="Calibri"/>
          <w:sz w:val="22"/>
          <w:szCs w:val="22"/>
          <w:lang w:eastAsia="en-US"/>
        </w:rPr>
        <w:sectPr w:rsidR="00E908EA" w:rsidSect="00E908EA">
          <w:type w:val="continuous"/>
          <w:pgSz w:w="11900" w:h="16840"/>
          <w:pgMar w:top="1417" w:right="1417" w:bottom="1417" w:left="1417" w:header="708" w:footer="708" w:gutter="0"/>
          <w:cols w:num="2" w:space="708"/>
          <w:docGrid w:linePitch="360"/>
        </w:sectPr>
      </w:pPr>
    </w:p>
    <w:p w14:paraId="3BA4C2C6" w14:textId="358FB759" w:rsidR="00E908EA" w:rsidRDefault="00E908EA" w:rsidP="00E908EA">
      <w:pPr>
        <w:rPr>
          <w:rFonts w:ascii="Calibri" w:eastAsiaTheme="minorHAnsi" w:hAnsi="Calibri" w:cs="Calibri"/>
          <w:sz w:val="22"/>
          <w:szCs w:val="22"/>
          <w:lang w:eastAsia="en-US"/>
        </w:rPr>
      </w:pPr>
    </w:p>
    <w:p w14:paraId="3AD10B15" w14:textId="6AB0B6FE" w:rsidR="00E908EA" w:rsidRDefault="00E908EA" w:rsidP="00E908EA">
      <w:pPr>
        <w:rPr>
          <w:lang w:eastAsia="en-US"/>
        </w:rPr>
      </w:pPr>
      <w:r>
        <w:rPr>
          <w:lang w:eastAsia="en-US"/>
        </w:rPr>
        <w:t>Daarnaast kregen de cybercrime magistraten van het Federaal Parket de mogelijkheid een intensieve Cybersecurity Essentials bootcamp te volgen.</w:t>
      </w:r>
    </w:p>
    <w:p w14:paraId="0945450B" w14:textId="186923EA" w:rsidR="00E908EA" w:rsidRDefault="00E908EA" w:rsidP="00E908EA">
      <w:pPr>
        <w:rPr>
          <w:lang w:eastAsia="en-US"/>
        </w:rPr>
      </w:pPr>
    </w:p>
    <w:bookmarkEnd w:id="2"/>
    <w:p w14:paraId="6C8E6C8A" w14:textId="7B44EB04" w:rsidR="002A6858" w:rsidRDefault="002A6858">
      <w:pPr>
        <w:rPr>
          <w:lang w:eastAsia="en-US"/>
        </w:rPr>
      </w:pPr>
      <w:r>
        <w:br w:type="page"/>
      </w:r>
    </w:p>
    <w:p w14:paraId="327B4458" w14:textId="77777777" w:rsidR="00C90CA2" w:rsidRPr="00C90CA2" w:rsidRDefault="00C90CA2" w:rsidP="00C90CA2">
      <w:pPr>
        <w:keepNext/>
        <w:keepLines/>
        <w:spacing w:before="240" w:line="259" w:lineRule="auto"/>
        <w:outlineLvl w:val="0"/>
        <w:rPr>
          <w:rFonts w:asciiTheme="majorHAnsi" w:eastAsiaTheme="majorEastAsia" w:hAnsiTheme="majorHAnsi" w:cstheme="majorBidi"/>
          <w:color w:val="365F91" w:themeColor="accent1" w:themeShade="BF"/>
          <w:sz w:val="32"/>
          <w:szCs w:val="32"/>
          <w:lang w:eastAsia="en-US"/>
        </w:rPr>
      </w:pPr>
      <w:r w:rsidRPr="00C90CA2">
        <w:rPr>
          <w:rFonts w:asciiTheme="majorHAnsi" w:eastAsiaTheme="majorEastAsia" w:hAnsiTheme="majorHAnsi" w:cstheme="majorBidi"/>
          <w:color w:val="365F91" w:themeColor="accent1" w:themeShade="BF"/>
          <w:sz w:val="32"/>
          <w:szCs w:val="32"/>
          <w:lang w:eastAsia="en-US"/>
        </w:rPr>
        <w:t>Campagne Safeonweb 2017 ging met succes de strijd aan tegen phishing</w:t>
      </w:r>
    </w:p>
    <w:p w14:paraId="3DF9A05D" w14:textId="77777777" w:rsidR="00C90CA2" w:rsidRPr="00C90CA2" w:rsidRDefault="00C90CA2" w:rsidP="00C90CA2">
      <w:r w:rsidRPr="00C90CA2">
        <w:rPr>
          <w:noProof/>
          <w:sz w:val="44"/>
        </w:rPr>
        <w:drawing>
          <wp:anchor distT="0" distB="0" distL="114300" distR="114300" simplePos="0" relativeHeight="251659264" behindDoc="0" locked="0" layoutInCell="1" allowOverlap="1" wp14:anchorId="5551FE53" wp14:editId="2C10D18D">
            <wp:simplePos x="0" y="0"/>
            <wp:positionH relativeFrom="column">
              <wp:posOffset>2908935</wp:posOffset>
            </wp:positionH>
            <wp:positionV relativeFrom="paragraph">
              <wp:posOffset>49530</wp:posOffset>
            </wp:positionV>
            <wp:extent cx="2799715" cy="1035050"/>
            <wp:effectExtent l="0" t="0" r="635" b="0"/>
            <wp:wrapSquare wrapText="bothSides"/>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3"/>
                    <a:stretch>
                      <a:fillRect/>
                    </a:stretch>
                  </pic:blipFill>
                  <pic:spPr>
                    <a:xfrm>
                      <a:off x="0" y="0"/>
                      <a:ext cx="2799715" cy="1035050"/>
                    </a:xfrm>
                    <a:prstGeom prst="rect">
                      <a:avLst/>
                    </a:prstGeom>
                  </pic:spPr>
                </pic:pic>
              </a:graphicData>
            </a:graphic>
            <wp14:sizeRelH relativeFrom="margin">
              <wp14:pctWidth>0</wp14:pctWidth>
            </wp14:sizeRelH>
            <wp14:sizeRelV relativeFrom="margin">
              <wp14:pctHeight>0</wp14:pctHeight>
            </wp14:sizeRelV>
          </wp:anchor>
        </w:drawing>
      </w:r>
      <w:r w:rsidRPr="00C90CA2">
        <w:t xml:space="preserve">Op 2 oktober 2017 lanceerden het Centrum voor Cybersecurity België en de Cyber Security Coalition een sensibiliseringscampagne rond cyberveiligheid in het kader van de European Cyber Security Month. </w:t>
      </w:r>
    </w:p>
    <w:p w14:paraId="2C89D2B3" w14:textId="77777777" w:rsidR="00C90CA2" w:rsidRPr="00C90CA2" w:rsidRDefault="00C90CA2" w:rsidP="00C90CA2"/>
    <w:p w14:paraId="3E64D85F" w14:textId="77777777" w:rsidR="00C90CA2" w:rsidRPr="00C90CA2" w:rsidRDefault="00C90CA2" w:rsidP="00C90CA2">
      <w:r w:rsidRPr="00C90CA2">
        <w:t>“Met deze campagne wilden we alle internetgebruikers wapenen tegen phishing. We wilden bereiken dat de internetgebruiker weet dat niet elk bericht dat hij of zij per e-mail of via social media krijgt, ook echt is”, stelt Miguel De Bruycker, directeur CCB.   “Er circuleren veel valse berichten en we wilden dat mensen deze herkennen, er zeker niet op reageren, bijlages openen of op links klikken.  Maar we verwachtten nog meer.  We vroegen iedereen om verdachte berichten door te sturen naar verdacht@safeonweb.be en ze vervolgens te wissen.“</w:t>
      </w:r>
    </w:p>
    <w:p w14:paraId="3DCD88F5" w14:textId="77777777" w:rsidR="00C90CA2" w:rsidRPr="00C90CA2" w:rsidRDefault="00C90CA2" w:rsidP="00C90CA2"/>
    <w:p w14:paraId="110BEDAF" w14:textId="77777777" w:rsidR="00C90CA2" w:rsidRPr="00C90CA2" w:rsidRDefault="00C90CA2" w:rsidP="00C90CA2">
      <w:pPr>
        <w:keepNext/>
        <w:keepLines/>
        <w:spacing w:before="40"/>
        <w:outlineLvl w:val="1"/>
        <w:rPr>
          <w:rFonts w:asciiTheme="majorHAnsi" w:eastAsiaTheme="majorEastAsia" w:hAnsiTheme="majorHAnsi" w:cstheme="majorBidi"/>
          <w:color w:val="365F91" w:themeColor="accent1" w:themeShade="BF"/>
          <w:sz w:val="26"/>
          <w:szCs w:val="26"/>
        </w:rPr>
      </w:pPr>
      <w:r w:rsidRPr="00C90CA2">
        <w:rPr>
          <w:rFonts w:asciiTheme="majorHAnsi" w:eastAsiaTheme="majorEastAsia" w:hAnsiTheme="majorHAnsi" w:cstheme="majorBidi"/>
          <w:color w:val="365F91" w:themeColor="accent1" w:themeShade="BF"/>
          <w:sz w:val="26"/>
          <w:szCs w:val="26"/>
        </w:rPr>
        <w:t>Zowel het bereik als de resultaten van de campagne zijn positief</w:t>
      </w:r>
    </w:p>
    <w:p w14:paraId="11A9FB6A" w14:textId="77777777" w:rsidR="00C90CA2" w:rsidRPr="00C90CA2" w:rsidRDefault="00C90CA2" w:rsidP="00C90CA2">
      <w:r w:rsidRPr="00C90CA2">
        <w:t xml:space="preserve">Met de advertenties op Facebook en Instagram alleen al bereikten we  tijdens de campagnemaand 1.000.000 mensen van alle leeftijden en van beide landstalen. 830.000 mensen zagen de advertenties in de bioscoop en meer dan 1 miljoen in de krant. Kijkers van onder meer één, Canvas en RTL zagen in prime time de tv-spotjes.  20% van de respondenten van onze meting zegt spontaan de campagne opgemerkt te hebben. Daaruit kunnen we afleiden dat ze opgepikt is door ongeveer 2 miljoen internet-gebruikers. Meer dan 130.000 mensen bezochten de website </w:t>
      </w:r>
      <w:hyperlink r:id="rId14" w:history="1">
        <w:r w:rsidRPr="00C90CA2">
          <w:rPr>
            <w:color w:val="0000FF" w:themeColor="hyperlink"/>
            <w:u w:val="single"/>
          </w:rPr>
          <w:t>www.safeonweb.be</w:t>
        </w:r>
      </w:hyperlink>
      <w:r w:rsidRPr="00C90CA2">
        <w:t xml:space="preserve">  en 4000 daarvan deden de grote phishingquiz.  </w:t>
      </w:r>
    </w:p>
    <w:p w14:paraId="411EC4C2" w14:textId="77777777" w:rsidR="00C90CA2" w:rsidRPr="00C90CA2" w:rsidRDefault="00C90CA2" w:rsidP="00C90CA2"/>
    <w:p w14:paraId="546F299B" w14:textId="77777777" w:rsidR="00C90CA2" w:rsidRPr="00C90CA2" w:rsidRDefault="00C90CA2" w:rsidP="00C90CA2">
      <w:pPr>
        <w:keepNext/>
        <w:keepLines/>
        <w:spacing w:before="40"/>
        <w:outlineLvl w:val="1"/>
        <w:rPr>
          <w:rFonts w:asciiTheme="majorHAnsi" w:eastAsiaTheme="majorEastAsia" w:hAnsiTheme="majorHAnsi" w:cstheme="majorBidi"/>
          <w:color w:val="365F91" w:themeColor="accent1" w:themeShade="BF"/>
          <w:sz w:val="26"/>
          <w:szCs w:val="26"/>
        </w:rPr>
      </w:pPr>
      <w:r w:rsidRPr="00C90CA2">
        <w:rPr>
          <w:rFonts w:asciiTheme="majorHAnsi" w:eastAsiaTheme="majorEastAsia" w:hAnsiTheme="majorHAnsi" w:cstheme="majorBidi"/>
          <w:color w:val="365F91" w:themeColor="accent1" w:themeShade="BF"/>
          <w:sz w:val="26"/>
          <w:szCs w:val="26"/>
        </w:rPr>
        <w:t xml:space="preserve">Stuur verdachte berichten naar </w:t>
      </w:r>
      <w:hyperlink r:id="rId15" w:history="1">
        <w:r w:rsidRPr="00C90CA2">
          <w:rPr>
            <w:rFonts w:asciiTheme="majorHAnsi" w:eastAsiaTheme="majorEastAsia" w:hAnsiTheme="majorHAnsi" w:cstheme="majorBidi"/>
            <w:color w:val="0000FF" w:themeColor="hyperlink"/>
            <w:sz w:val="26"/>
            <w:szCs w:val="26"/>
            <w:u w:val="single"/>
          </w:rPr>
          <w:t>verdacht@safeonweb.be</w:t>
        </w:r>
      </w:hyperlink>
      <w:r w:rsidRPr="00C90CA2">
        <w:rPr>
          <w:rFonts w:asciiTheme="majorHAnsi" w:eastAsiaTheme="majorEastAsia" w:hAnsiTheme="majorHAnsi" w:cstheme="majorBidi"/>
          <w:color w:val="365F91" w:themeColor="accent1" w:themeShade="BF"/>
          <w:sz w:val="26"/>
          <w:szCs w:val="26"/>
        </w:rPr>
        <w:t xml:space="preserve"> </w:t>
      </w:r>
    </w:p>
    <w:p w14:paraId="479C0510" w14:textId="0D569740" w:rsidR="00C90CA2" w:rsidRPr="00C90CA2" w:rsidRDefault="00C90CA2" w:rsidP="00C90CA2">
      <w:r w:rsidRPr="00C90CA2">
        <w:t xml:space="preserve">Maar we wilden meer bereiken met deze campagne.  Daarom vroegen we de internetgebruiker om ons verdachte berichten te bezorgen.  De links en bijlages van deze berichten worden automatisch gescand met geavanceerde anti-virustechnologie.  De oproep werd massaal opgevolgd en tot op vandaag krijgen we nog steeds een </w:t>
      </w:r>
      <w:r w:rsidR="00D2647A">
        <w:t>600</w:t>
      </w:r>
      <w:r w:rsidRPr="00C90CA2">
        <w:t xml:space="preserve">-tal berichten per dag doorgestuurd. In totaal kregen we </w:t>
      </w:r>
      <w:r w:rsidR="00D2647A">
        <w:t>ongeveer</w:t>
      </w:r>
      <w:r w:rsidRPr="00C90CA2">
        <w:t xml:space="preserve"> 150.000 e-mails te verwerken.</w:t>
      </w:r>
      <w:r w:rsidRPr="00C90CA2">
        <w:rPr>
          <w:rFonts w:eastAsia="Times New Roman"/>
        </w:rPr>
        <w:t xml:space="preserve"> </w:t>
      </w:r>
      <w:r w:rsidRPr="00C90CA2">
        <w:t xml:space="preserve">Op die manier blokkeren we dagelijks </w:t>
      </w:r>
      <w:r w:rsidR="00D2647A">
        <w:t xml:space="preserve">3 à 4 </w:t>
      </w:r>
      <w:r w:rsidRPr="00C90CA2">
        <w:t xml:space="preserve">nieuwe phishingwebsites. </w:t>
      </w:r>
    </w:p>
    <w:p w14:paraId="477B03EA" w14:textId="77777777" w:rsidR="00C90CA2" w:rsidRPr="00C90CA2" w:rsidRDefault="00C90CA2" w:rsidP="00C90CA2">
      <w:pPr>
        <w:rPr>
          <w:b/>
        </w:rPr>
      </w:pPr>
    </w:p>
    <w:p w14:paraId="05F96A8D" w14:textId="77777777" w:rsidR="000B2951" w:rsidRDefault="000B2951" w:rsidP="000B2951"/>
    <w:p w14:paraId="1E4A5440" w14:textId="70473611" w:rsidR="005D2515" w:rsidRDefault="005D2515">
      <w:pPr>
        <w:rPr>
          <w:b/>
        </w:rPr>
      </w:pPr>
      <w:r>
        <w:rPr>
          <w:b/>
        </w:rPr>
        <w:br w:type="page"/>
      </w:r>
    </w:p>
    <w:p w14:paraId="195ABC2E" w14:textId="77777777" w:rsidR="005D2515" w:rsidRDefault="005D2515" w:rsidP="00E9218B">
      <w:pPr>
        <w:rPr>
          <w:b/>
        </w:rPr>
      </w:pPr>
    </w:p>
    <w:p w14:paraId="040AE8C2" w14:textId="77777777" w:rsidR="005D2515" w:rsidRDefault="005D2515" w:rsidP="00E9218B">
      <w:pPr>
        <w:rPr>
          <w:b/>
        </w:rPr>
      </w:pPr>
    </w:p>
    <w:p w14:paraId="2F2061FD" w14:textId="48F1EC81" w:rsidR="005D2515" w:rsidRPr="00E22389" w:rsidRDefault="005D2515" w:rsidP="00E9218B">
      <w:pPr>
        <w:rPr>
          <w:b/>
          <w:sz w:val="28"/>
        </w:rPr>
      </w:pPr>
      <w:r w:rsidRPr="00E22389">
        <w:rPr>
          <w:b/>
          <w:sz w:val="28"/>
        </w:rPr>
        <w:t xml:space="preserve">NIEUWE REALISATIE IN DE KIJKER: </w:t>
      </w:r>
    </w:p>
    <w:p w14:paraId="342324BE" w14:textId="6D1F603C" w:rsidR="00F7496A" w:rsidRPr="00EA64BD" w:rsidRDefault="001113BA" w:rsidP="00BD69FE">
      <w:pPr>
        <w:pStyle w:val="Heading1"/>
      </w:pPr>
      <w:r>
        <w:t>Geef cybercriminelen geen kans in 2018</w:t>
      </w:r>
      <w:r w:rsidR="00F7496A" w:rsidRPr="00EA64BD">
        <w:t xml:space="preserve"> </w:t>
      </w:r>
    </w:p>
    <w:p w14:paraId="1B7C7ED6" w14:textId="40EDD285" w:rsidR="00E9218B" w:rsidRDefault="00E9218B" w:rsidP="00BD69FE">
      <w:pPr>
        <w:pStyle w:val="Heading2"/>
      </w:pPr>
      <w:r w:rsidRPr="00847532">
        <w:t xml:space="preserve">Om bedrijven en organisaties beter te wapenen tegen cyberaanvallen publiceren wij een online referentiegids. </w:t>
      </w:r>
    </w:p>
    <w:p w14:paraId="1E841EB8" w14:textId="77777777" w:rsidR="00E9218B" w:rsidRDefault="00E9218B" w:rsidP="001113BA">
      <w:pPr>
        <w:rPr>
          <w:b/>
        </w:rPr>
      </w:pPr>
    </w:p>
    <w:p w14:paraId="0D1E1828" w14:textId="1CFB1840" w:rsidR="001113BA" w:rsidRDefault="007D3094" w:rsidP="001113BA">
      <w:r>
        <w:t>Criminelen die</w:t>
      </w:r>
      <w:r w:rsidR="00847532">
        <w:t xml:space="preserve"> uit zijn op</w:t>
      </w:r>
      <w:r>
        <w:t xml:space="preserve"> financieel voordeel of </w:t>
      </w:r>
      <w:r w:rsidR="00847532">
        <w:t xml:space="preserve">die </w:t>
      </w:r>
      <w:r>
        <w:t>schade willen berokkenen aan bedrijven slaan steeds v</w:t>
      </w:r>
      <w:r w:rsidR="00847532">
        <w:t>aker online hun slag. B</w:t>
      </w:r>
      <w:r>
        <w:t xml:space="preserve">edrijven </w:t>
      </w:r>
      <w:r w:rsidR="00847532">
        <w:t>van hu</w:t>
      </w:r>
      <w:r w:rsidR="00AC46B5">
        <w:t>n</w:t>
      </w:r>
      <w:r w:rsidR="00847532">
        <w:t xml:space="preserve"> kant zijn </w:t>
      </w:r>
      <w:r>
        <w:t xml:space="preserve">in toenemende mate afhankelijk van ICT en online verkoop, waardoor ze kwetsbaar zijn voor cybercriminaliteit. </w:t>
      </w:r>
      <w:r w:rsidR="00E22389">
        <w:t xml:space="preserve"> </w:t>
      </w:r>
      <w:r w:rsidR="00F366D1">
        <w:t xml:space="preserve">In 2016 werd twee derde van de Belgische bedrijven slachtoffer van cybercriminaliteit. </w:t>
      </w:r>
      <w:r w:rsidR="006D37E0">
        <w:t xml:space="preserve">Voor de meeste bedrijven bleef de schade beperkt tot een verstoring van de dagelijkse werking maar voor </w:t>
      </w:r>
      <w:r w:rsidR="006D37E0" w:rsidRPr="006D37E0">
        <w:t xml:space="preserve">9% van de door cyberafpersing en –chantage getroffen bedrijven </w:t>
      </w:r>
      <w:r w:rsidR="006D37E0">
        <w:t>liep de schade</w:t>
      </w:r>
      <w:r w:rsidR="006D37E0" w:rsidRPr="006D37E0">
        <w:t xml:space="preserve"> </w:t>
      </w:r>
      <w:r w:rsidR="006D37E0">
        <w:t>op tot</w:t>
      </w:r>
      <w:r w:rsidR="006D37E0" w:rsidRPr="006D37E0">
        <w:t xml:space="preserve"> meer dan 10.000 euro.</w:t>
      </w:r>
      <w:r w:rsidR="00F366D1">
        <w:t xml:space="preserve"> (bcc-project.be, 29/6/2017) </w:t>
      </w:r>
    </w:p>
    <w:p w14:paraId="0D205EE3" w14:textId="5E7E6AAF" w:rsidR="00E22389" w:rsidRDefault="00E22389" w:rsidP="001113BA"/>
    <w:p w14:paraId="32CFAA18" w14:textId="0D1C43BE" w:rsidR="00E22389" w:rsidRDefault="001349FA" w:rsidP="00BD69FE">
      <w:pPr>
        <w:pStyle w:val="Heading2"/>
      </w:pPr>
      <w:r>
        <w:t>Goed</w:t>
      </w:r>
      <w:r w:rsidR="00E22389" w:rsidRPr="00E22389">
        <w:t xml:space="preserve"> voornemen 2018: maak een cybersecurityplan</w:t>
      </w:r>
    </w:p>
    <w:p w14:paraId="61F8906D" w14:textId="77777777" w:rsidR="00E22389" w:rsidRPr="00E22389" w:rsidRDefault="00E22389" w:rsidP="001113BA">
      <w:pPr>
        <w:rPr>
          <w:b/>
        </w:rPr>
      </w:pPr>
    </w:p>
    <w:p w14:paraId="32A85B53" w14:textId="77777777" w:rsidR="00E22389" w:rsidRDefault="00137961" w:rsidP="00E22389">
      <w:r>
        <w:t>Voor sommige bedrijven en organisatie</w:t>
      </w:r>
      <w:r w:rsidR="00CC2829">
        <w:t>s</w:t>
      </w:r>
      <w:r>
        <w:t xml:space="preserve"> lijkt de stap naar een uitgewerkt cyberveiligheidsbeleid onoverkomelijk.  </w:t>
      </w:r>
    </w:p>
    <w:p w14:paraId="2801B7B1" w14:textId="77777777" w:rsidR="00E22389" w:rsidRDefault="00E22389" w:rsidP="00E22389"/>
    <w:p w14:paraId="055359EE" w14:textId="77777777" w:rsidR="00E22389" w:rsidRDefault="00E22389" w:rsidP="00E22389">
      <w:r>
        <w:t>“</w:t>
      </w:r>
      <w:r w:rsidR="00137961">
        <w:t xml:space="preserve">Ze hebben onvoldoende inzicht in de gevaren, geen expertise in de materie, ze denken dat het hen niet zal overkomen of ze gaan ervan uit dat de investering niet </w:t>
      </w:r>
      <w:r w:rsidR="002F2620">
        <w:t>zal</w:t>
      </w:r>
      <w:r w:rsidR="00137961">
        <w:t xml:space="preserve"> lonen.</w:t>
      </w:r>
      <w:r>
        <w:t xml:space="preserve"> </w:t>
      </w:r>
      <w:r w:rsidR="006D37E0">
        <w:t>Toch</w:t>
      </w:r>
      <w:r w:rsidR="00137961">
        <w:t xml:space="preserve"> </w:t>
      </w:r>
      <w:r w:rsidR="007D3094">
        <w:t xml:space="preserve">raden wij elke organisatie aan om bij wijze van goed voornemen voor 2018 een </w:t>
      </w:r>
      <w:r w:rsidR="007D3094" w:rsidRPr="00CC2829">
        <w:rPr>
          <w:b/>
        </w:rPr>
        <w:t>cybersecurityplan</w:t>
      </w:r>
      <w:r w:rsidR="006D37E0">
        <w:rPr>
          <w:b/>
        </w:rPr>
        <w:t xml:space="preserve"> </w:t>
      </w:r>
      <w:r w:rsidR="006D37E0" w:rsidRPr="006D37E0">
        <w:t>uit te werken</w:t>
      </w:r>
      <w:r>
        <w:t xml:space="preserve">”, aldus Miguel De Bruycker, directeur </w:t>
      </w:r>
      <w:r w:rsidRPr="00E22389">
        <w:t>Centrum voor Cybersecurity België</w:t>
      </w:r>
      <w:r w:rsidR="007D3094">
        <w:t xml:space="preserve">.  </w:t>
      </w:r>
    </w:p>
    <w:p w14:paraId="4640C3AC" w14:textId="77777777" w:rsidR="00E22389" w:rsidRDefault="00E22389" w:rsidP="00E22389"/>
    <w:p w14:paraId="6A059E35" w14:textId="0BA36000" w:rsidR="005D2515" w:rsidRPr="00B17469" w:rsidRDefault="007D3094" w:rsidP="00137961">
      <w:pPr>
        <w:rPr>
          <w:rStyle w:val="Hyperlink"/>
          <w:color w:val="auto"/>
          <w:u w:val="none"/>
        </w:rPr>
      </w:pPr>
      <w:r>
        <w:t>De</w:t>
      </w:r>
      <w:r w:rsidR="00847532">
        <w:t>ze</w:t>
      </w:r>
      <w:r>
        <w:t xml:space="preserve"> </w:t>
      </w:r>
      <w:r w:rsidR="00847532">
        <w:t>referentie</w:t>
      </w:r>
      <w:r w:rsidR="00CC2829">
        <w:t>gids</w:t>
      </w:r>
      <w:r>
        <w:t xml:space="preserve"> </w:t>
      </w:r>
      <w:r w:rsidR="002F2620">
        <w:t>zal</w:t>
      </w:r>
      <w:r>
        <w:t xml:space="preserve"> hen helpen om van start te gaan. </w:t>
      </w:r>
      <w:r w:rsidR="00B17469">
        <w:t xml:space="preserve">De gids </w:t>
      </w:r>
      <w:r w:rsidR="00137961">
        <w:t>werd opgesteld door het Centrum voor Cybersecurity Belg</w:t>
      </w:r>
      <w:r w:rsidR="00AC46B5">
        <w:t>ië, in samenwerking met de FOD E</w:t>
      </w:r>
      <w:r w:rsidR="00137961">
        <w:t>conomie en de C</w:t>
      </w:r>
      <w:r w:rsidR="0035572E">
        <w:t>yber Security Coalition Belgium</w:t>
      </w:r>
      <w:r w:rsidR="001E0972">
        <w:t xml:space="preserve"> en staat ter beschikking op de website van het CCB. www.ccb.belgium.be</w:t>
      </w:r>
      <w:r w:rsidR="0035572E">
        <w:t xml:space="preserve"> </w:t>
      </w:r>
    </w:p>
    <w:p w14:paraId="2DC9B5AC" w14:textId="5DB0FCE3" w:rsidR="005D2515" w:rsidRDefault="005D2515" w:rsidP="00137961">
      <w:pPr>
        <w:rPr>
          <w:rStyle w:val="Hyperlink"/>
        </w:rPr>
      </w:pPr>
    </w:p>
    <w:p w14:paraId="69E2794A" w14:textId="3C640BD0" w:rsidR="005D2515" w:rsidRDefault="00E22389" w:rsidP="00137961">
      <w:pPr>
        <w:rPr>
          <w:rStyle w:val="Hyperlink"/>
        </w:rPr>
      </w:pPr>
      <w:r>
        <w:rPr>
          <w:noProof/>
        </w:rPr>
        <w:drawing>
          <wp:inline distT="0" distB="0" distL="0" distR="0" wp14:anchorId="6525F736" wp14:editId="196EB2D1">
            <wp:extent cx="5458703" cy="2169994"/>
            <wp:effectExtent l="0" t="0" r="889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62280" cy="2171416"/>
                    </a:xfrm>
                    <a:prstGeom prst="rect">
                      <a:avLst/>
                    </a:prstGeom>
                  </pic:spPr>
                </pic:pic>
              </a:graphicData>
            </a:graphic>
          </wp:inline>
        </w:drawing>
      </w:r>
    </w:p>
    <w:p w14:paraId="07F326D7" w14:textId="77777777" w:rsidR="006730E1" w:rsidRDefault="005D2515" w:rsidP="005D2515">
      <w:pPr>
        <w:rPr>
          <w:b/>
        </w:rPr>
      </w:pPr>
      <w:r>
        <w:rPr>
          <w:b/>
        </w:rPr>
        <w:br w:type="page"/>
      </w:r>
    </w:p>
    <w:p w14:paraId="3E423257" w14:textId="77777777" w:rsidR="006730E1" w:rsidRDefault="006730E1" w:rsidP="005D2515">
      <w:pPr>
        <w:rPr>
          <w:b/>
        </w:rPr>
      </w:pPr>
    </w:p>
    <w:p w14:paraId="3B6512D3" w14:textId="7B6180C9" w:rsidR="006730E1" w:rsidRPr="00EA64BD" w:rsidRDefault="006730E1" w:rsidP="006730E1">
      <w:pPr>
        <w:pStyle w:val="Heading1"/>
        <w:rPr>
          <w:rFonts w:ascii="Arial" w:hAnsi="Arial" w:cs="Arial"/>
        </w:rPr>
      </w:pPr>
      <w:r>
        <w:t>CONTACT – Niet voor publicatie</w:t>
      </w:r>
    </w:p>
    <w:p w14:paraId="1FAB4C7C" w14:textId="77777777" w:rsidR="0044316E" w:rsidRPr="00EA64BD" w:rsidRDefault="0044316E" w:rsidP="00520B60">
      <w:pPr>
        <w:rPr>
          <w:rFonts w:ascii="Arial" w:hAnsi="Arial" w:cs="Arial"/>
        </w:rPr>
      </w:pPr>
    </w:p>
    <w:p w14:paraId="2D193EE3" w14:textId="00F2171B" w:rsidR="00A23787" w:rsidRPr="00EA64BD" w:rsidRDefault="00A23787" w:rsidP="0035572E">
      <w:pPr>
        <w:pStyle w:val="Heading2"/>
      </w:pPr>
      <w:r w:rsidRPr="00EA64BD">
        <w:t xml:space="preserve">Over </w:t>
      </w:r>
      <w:r w:rsidR="0044316E" w:rsidRPr="00EA64BD">
        <w:t xml:space="preserve">het </w:t>
      </w:r>
      <w:r w:rsidR="006666A7" w:rsidRPr="00EA64BD">
        <w:t>Centrum voor Cybersecurity België</w:t>
      </w:r>
      <w:r w:rsidR="006326BB" w:rsidRPr="00EA64BD">
        <w:t>:</w:t>
      </w:r>
    </w:p>
    <w:p w14:paraId="1D4C397C" w14:textId="4EFB3887" w:rsidR="00F528FC" w:rsidRPr="00EA64BD" w:rsidRDefault="00F528FC" w:rsidP="00F528FC">
      <w:r w:rsidRPr="00EA64BD">
        <w:t xml:space="preserve">Het Centrum voor Cybersecurity België (CCB) is het nationale centrum voor cyberveiligheid in België. Het CCB stelt tot doel het superviseren, het coördineren en het waken over de toepassing van de Belgische strategie betreffende cyberveiligheid. Door het optimaliseren van de informatie-uitwisseling zullen de bevolking, de bedrijven de overheid en de vitale sectoren zich gepast kunnen beschermen. </w:t>
      </w:r>
    </w:p>
    <w:p w14:paraId="0BC97828" w14:textId="77777777" w:rsidR="007D6352" w:rsidRPr="00EA64BD" w:rsidRDefault="00336B99" w:rsidP="007D6352">
      <w:hyperlink r:id="rId17" w:history="1">
        <w:r w:rsidR="007D6352" w:rsidRPr="00EA64BD">
          <w:rPr>
            <w:rStyle w:val="Hyperlink"/>
          </w:rPr>
          <w:t>www.ccb.belgium.be</w:t>
        </w:r>
      </w:hyperlink>
      <w:r w:rsidR="007D6352" w:rsidRPr="00EA64BD">
        <w:t xml:space="preserve"> </w:t>
      </w:r>
      <w:r w:rsidR="007D6352" w:rsidRPr="00EA64BD" w:rsidDel="00F569BC">
        <w:t xml:space="preserve"> </w:t>
      </w:r>
      <w:r w:rsidR="007D6352" w:rsidRPr="00EA64BD">
        <w:t xml:space="preserve"> </w:t>
      </w:r>
    </w:p>
    <w:p w14:paraId="0C04FFD2" w14:textId="77777777" w:rsidR="00A23787" w:rsidRPr="00EA64BD" w:rsidRDefault="00A23787" w:rsidP="00520B60"/>
    <w:p w14:paraId="32FACD49" w14:textId="77777777" w:rsidR="004631C9" w:rsidRPr="00EA64BD" w:rsidRDefault="00A23787" w:rsidP="00F569BC">
      <w:pPr>
        <w:rPr>
          <w:b/>
        </w:rPr>
      </w:pPr>
      <w:r w:rsidRPr="00EA64BD">
        <w:rPr>
          <w:b/>
        </w:rPr>
        <w:t>Perscontact</w:t>
      </w:r>
      <w:r w:rsidR="00BE4B82" w:rsidRPr="00EA64BD">
        <w:rPr>
          <w:b/>
        </w:rPr>
        <w:t xml:space="preserve"> Centrum voor Cybersecurity België</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8"/>
      </w:tblGrid>
      <w:tr w:rsidR="004631C9" w:rsidRPr="00E908EA" w14:paraId="603C83D0" w14:textId="77777777" w:rsidTr="004631C9">
        <w:tc>
          <w:tcPr>
            <w:tcW w:w="4528" w:type="dxa"/>
          </w:tcPr>
          <w:p w14:paraId="3DE82376" w14:textId="77777777" w:rsidR="004631C9" w:rsidRPr="00EA64BD" w:rsidRDefault="004631C9" w:rsidP="004631C9">
            <w:pPr>
              <w:rPr>
                <w:lang w:val="fr-FR"/>
              </w:rPr>
            </w:pPr>
            <w:r w:rsidRPr="00EA64BD">
              <w:rPr>
                <w:lang w:val="fr-FR"/>
              </w:rPr>
              <w:t xml:space="preserve">Andries Bomans </w:t>
            </w:r>
          </w:p>
          <w:p w14:paraId="0DA52A6E" w14:textId="77777777" w:rsidR="004631C9" w:rsidRPr="00EA64BD" w:rsidRDefault="004631C9" w:rsidP="004631C9">
            <w:pPr>
              <w:rPr>
                <w:lang w:val="fr-FR"/>
              </w:rPr>
            </w:pPr>
            <w:r w:rsidRPr="00EA64BD">
              <w:rPr>
                <w:lang w:val="fr-FR"/>
              </w:rPr>
              <w:t>T: +32 471 66 00 06</w:t>
            </w:r>
          </w:p>
          <w:p w14:paraId="1AC4583F" w14:textId="14597928" w:rsidR="004631C9" w:rsidRPr="00EA64BD" w:rsidRDefault="00336B99" w:rsidP="004631C9">
            <w:pPr>
              <w:rPr>
                <w:b/>
                <w:lang w:val="fr-FR"/>
              </w:rPr>
            </w:pPr>
            <w:hyperlink r:id="rId18" w:history="1">
              <w:r w:rsidR="004631C9" w:rsidRPr="00EA64BD">
                <w:rPr>
                  <w:lang w:val="fr-FR"/>
                </w:rPr>
                <w:t>Andries.bomans@ccb.belgium.be</w:t>
              </w:r>
            </w:hyperlink>
            <w:r w:rsidR="004631C9" w:rsidRPr="00EA64BD">
              <w:rPr>
                <w:lang w:val="fr-FR"/>
              </w:rPr>
              <w:t xml:space="preserve">    </w:t>
            </w:r>
          </w:p>
        </w:tc>
        <w:tc>
          <w:tcPr>
            <w:tcW w:w="4528" w:type="dxa"/>
          </w:tcPr>
          <w:p w14:paraId="797A347C" w14:textId="77777777" w:rsidR="004631C9" w:rsidRPr="005C0947" w:rsidRDefault="004631C9" w:rsidP="001349FA">
            <w:pPr>
              <w:rPr>
                <w:b/>
                <w:lang w:val="fr-FR"/>
              </w:rPr>
            </w:pPr>
          </w:p>
        </w:tc>
      </w:tr>
    </w:tbl>
    <w:p w14:paraId="0B5D4D78" w14:textId="2492EA5C" w:rsidR="00F569BC" w:rsidRPr="005C0947" w:rsidRDefault="00F569BC" w:rsidP="00F569BC">
      <w:pPr>
        <w:rPr>
          <w:lang w:val="fr-FR"/>
        </w:rPr>
      </w:pPr>
    </w:p>
    <w:p w14:paraId="7AECF4D8" w14:textId="5B99D083" w:rsidR="001972BC" w:rsidRPr="00C90CA2" w:rsidRDefault="001972BC" w:rsidP="00520B60">
      <w:pPr>
        <w:rPr>
          <w:lang w:val="fr-BE"/>
        </w:rPr>
      </w:pPr>
    </w:p>
    <w:sectPr w:rsidR="001972BC" w:rsidRPr="00C90CA2" w:rsidSect="00E908EA">
      <w:type w:val="continuous"/>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401B2" w14:textId="77777777" w:rsidR="00336B99" w:rsidRDefault="00336B99" w:rsidP="004E4BBA">
      <w:r>
        <w:separator/>
      </w:r>
    </w:p>
  </w:endnote>
  <w:endnote w:type="continuationSeparator" w:id="0">
    <w:p w14:paraId="0742051D" w14:textId="77777777" w:rsidR="00336B99" w:rsidRDefault="00336B99" w:rsidP="004E4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Avenir Roman">
    <w:altName w:val="Corbel"/>
    <w:charset w:val="00"/>
    <w:family w:val="auto"/>
    <w:pitch w:val="variable"/>
    <w:sig w:usb0="00000001"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73A920" w14:textId="77777777" w:rsidR="00336B99" w:rsidRDefault="00336B99" w:rsidP="004E4BBA">
      <w:r>
        <w:separator/>
      </w:r>
    </w:p>
  </w:footnote>
  <w:footnote w:type="continuationSeparator" w:id="0">
    <w:p w14:paraId="5B2B5E84" w14:textId="77777777" w:rsidR="00336B99" w:rsidRDefault="00336B99" w:rsidP="004E4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8B9B8" w14:textId="7F8FB2D2" w:rsidR="006D3BB2" w:rsidRDefault="006D3BB2">
    <w:pPr>
      <w:pStyle w:val="Header"/>
    </w:pPr>
    <w:r>
      <w:rPr>
        <w:noProof/>
        <w:lang w:eastAsia="nl-BE"/>
      </w:rPr>
      <w:drawing>
        <wp:inline distT="0" distB="0" distL="0" distR="0" wp14:anchorId="46F80B42" wp14:editId="46CC1C0C">
          <wp:extent cx="1562100" cy="62696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_Logo_DEF_small.png"/>
                  <pic:cNvPicPr/>
                </pic:nvPicPr>
                <pic:blipFill>
                  <a:blip r:embed="rId1"/>
                  <a:stretch>
                    <a:fillRect/>
                  </a:stretch>
                </pic:blipFill>
                <pic:spPr>
                  <a:xfrm>
                    <a:off x="0" y="0"/>
                    <a:ext cx="1589619" cy="638010"/>
                  </a:xfrm>
                  <a:prstGeom prst="rect">
                    <a:avLst/>
                  </a:prstGeom>
                </pic:spPr>
              </pic:pic>
            </a:graphicData>
          </a:graphic>
        </wp:inline>
      </w:drawing>
    </w:r>
    <w:r w:rsidR="00D1274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16D1F"/>
    <w:multiLevelType w:val="hybridMultilevel"/>
    <w:tmpl w:val="484AC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90A86"/>
    <w:multiLevelType w:val="hybridMultilevel"/>
    <w:tmpl w:val="C2523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1278C"/>
    <w:multiLevelType w:val="hybridMultilevel"/>
    <w:tmpl w:val="C7D23A08"/>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7264E9E"/>
    <w:multiLevelType w:val="hybridMultilevel"/>
    <w:tmpl w:val="8CEA7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E3B54"/>
    <w:multiLevelType w:val="hybridMultilevel"/>
    <w:tmpl w:val="B156C190"/>
    <w:lvl w:ilvl="0" w:tplc="5D305292">
      <w:numFmt w:val="bullet"/>
      <w:lvlText w:val="-"/>
      <w:lvlJc w:val="left"/>
      <w:pPr>
        <w:ind w:left="720" w:hanging="360"/>
      </w:pPr>
      <w:rPr>
        <w:rFonts w:ascii="Cambria" w:eastAsiaTheme="minorEastAsia" w:hAnsi="Cambri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B775C05"/>
    <w:multiLevelType w:val="hybridMultilevel"/>
    <w:tmpl w:val="083E845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2833133"/>
    <w:multiLevelType w:val="hybridMultilevel"/>
    <w:tmpl w:val="6FB2826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CE16A93"/>
    <w:multiLevelType w:val="hybridMultilevel"/>
    <w:tmpl w:val="9016380E"/>
    <w:lvl w:ilvl="0" w:tplc="BA58689C">
      <w:numFmt w:val="bullet"/>
      <w:lvlText w:val="•"/>
      <w:lvlJc w:val="left"/>
      <w:pPr>
        <w:ind w:left="1065" w:hanging="705"/>
      </w:pPr>
      <w:rPr>
        <w:rFonts w:ascii="Cambria" w:eastAsiaTheme="minorEastAsia" w:hAnsi="Cambria" w:cstheme="minorBidi" w:hint="default"/>
        <w:sz w:val="24"/>
        <w:szCs w:val="24"/>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D1F4ABC"/>
    <w:multiLevelType w:val="hybridMultilevel"/>
    <w:tmpl w:val="76981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171AE9"/>
    <w:multiLevelType w:val="hybridMultilevel"/>
    <w:tmpl w:val="45F088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FBF3DC5"/>
    <w:multiLevelType w:val="hybridMultilevel"/>
    <w:tmpl w:val="BB44D5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76F228A"/>
    <w:multiLevelType w:val="hybridMultilevel"/>
    <w:tmpl w:val="2160C48E"/>
    <w:lvl w:ilvl="0" w:tplc="5D305292">
      <w:numFmt w:val="bullet"/>
      <w:lvlText w:val="-"/>
      <w:lvlJc w:val="left"/>
      <w:pPr>
        <w:ind w:left="720" w:hanging="360"/>
      </w:pPr>
      <w:rPr>
        <w:rFonts w:ascii="Cambria" w:eastAsiaTheme="minorEastAsia" w:hAnsi="Cambri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BF37D41"/>
    <w:multiLevelType w:val="hybridMultilevel"/>
    <w:tmpl w:val="B002DF16"/>
    <w:lvl w:ilvl="0" w:tplc="9EB4DE4C">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CD3032C"/>
    <w:multiLevelType w:val="hybridMultilevel"/>
    <w:tmpl w:val="A7A874AE"/>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6B52753"/>
    <w:multiLevelType w:val="hybridMultilevel"/>
    <w:tmpl w:val="889659D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5CC07434"/>
    <w:multiLevelType w:val="hybridMultilevel"/>
    <w:tmpl w:val="997E029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81C5336"/>
    <w:multiLevelType w:val="hybridMultilevel"/>
    <w:tmpl w:val="F8883C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6DC17A2"/>
    <w:multiLevelType w:val="hybridMultilevel"/>
    <w:tmpl w:val="B60464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3"/>
  </w:num>
  <w:num w:numId="3">
    <w:abstractNumId w:val="8"/>
  </w:num>
  <w:num w:numId="4">
    <w:abstractNumId w:val="1"/>
  </w:num>
  <w:num w:numId="5">
    <w:abstractNumId w:val="12"/>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1"/>
  </w:num>
  <w:num w:numId="10">
    <w:abstractNumId w:val="4"/>
  </w:num>
  <w:num w:numId="11">
    <w:abstractNumId w:val="15"/>
  </w:num>
  <w:num w:numId="12">
    <w:abstractNumId w:val="6"/>
  </w:num>
  <w:num w:numId="13">
    <w:abstractNumId w:val="7"/>
  </w:num>
  <w:num w:numId="14">
    <w:abstractNumId w:val="16"/>
  </w:num>
  <w:num w:numId="15">
    <w:abstractNumId w:val="13"/>
  </w:num>
  <w:num w:numId="16">
    <w:abstractNumId w:val="2"/>
  </w:num>
  <w:num w:numId="17">
    <w:abstractNumId w:val="9"/>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B60"/>
    <w:rsid w:val="000443FC"/>
    <w:rsid w:val="0005178D"/>
    <w:rsid w:val="00054E10"/>
    <w:rsid w:val="000559CB"/>
    <w:rsid w:val="0007495C"/>
    <w:rsid w:val="00082034"/>
    <w:rsid w:val="00086C0C"/>
    <w:rsid w:val="000A6156"/>
    <w:rsid w:val="000B2951"/>
    <w:rsid w:val="000C6468"/>
    <w:rsid w:val="000E5938"/>
    <w:rsid w:val="001113BA"/>
    <w:rsid w:val="001349FA"/>
    <w:rsid w:val="00135648"/>
    <w:rsid w:val="00137961"/>
    <w:rsid w:val="00140F46"/>
    <w:rsid w:val="00152040"/>
    <w:rsid w:val="0017013E"/>
    <w:rsid w:val="001707C5"/>
    <w:rsid w:val="001773DF"/>
    <w:rsid w:val="00182140"/>
    <w:rsid w:val="001972BC"/>
    <w:rsid w:val="001A18EF"/>
    <w:rsid w:val="001D5494"/>
    <w:rsid w:val="001E0972"/>
    <w:rsid w:val="002168DE"/>
    <w:rsid w:val="00230FAD"/>
    <w:rsid w:val="00252326"/>
    <w:rsid w:val="002806C3"/>
    <w:rsid w:val="002A3279"/>
    <w:rsid w:val="002A6858"/>
    <w:rsid w:val="002C3946"/>
    <w:rsid w:val="002F2620"/>
    <w:rsid w:val="00310E54"/>
    <w:rsid w:val="0031307C"/>
    <w:rsid w:val="00336B99"/>
    <w:rsid w:val="0035572E"/>
    <w:rsid w:val="003640E9"/>
    <w:rsid w:val="003809BD"/>
    <w:rsid w:val="003F6E09"/>
    <w:rsid w:val="00400EF6"/>
    <w:rsid w:val="00421EE2"/>
    <w:rsid w:val="004338E3"/>
    <w:rsid w:val="0044316E"/>
    <w:rsid w:val="0046098D"/>
    <w:rsid w:val="00461B02"/>
    <w:rsid w:val="004631C9"/>
    <w:rsid w:val="00465150"/>
    <w:rsid w:val="00475686"/>
    <w:rsid w:val="00495700"/>
    <w:rsid w:val="004B4FB3"/>
    <w:rsid w:val="004E4BBA"/>
    <w:rsid w:val="00515468"/>
    <w:rsid w:val="00520B60"/>
    <w:rsid w:val="00522177"/>
    <w:rsid w:val="00534B80"/>
    <w:rsid w:val="005644AD"/>
    <w:rsid w:val="00577931"/>
    <w:rsid w:val="005974F1"/>
    <w:rsid w:val="005A1383"/>
    <w:rsid w:val="005A457D"/>
    <w:rsid w:val="005A4DC9"/>
    <w:rsid w:val="005B43BE"/>
    <w:rsid w:val="005B6C75"/>
    <w:rsid w:val="005C0947"/>
    <w:rsid w:val="005D2329"/>
    <w:rsid w:val="005D2515"/>
    <w:rsid w:val="005D5762"/>
    <w:rsid w:val="0060595C"/>
    <w:rsid w:val="006102D6"/>
    <w:rsid w:val="00611AF0"/>
    <w:rsid w:val="00622BD1"/>
    <w:rsid w:val="006326BB"/>
    <w:rsid w:val="006657BB"/>
    <w:rsid w:val="00665B1E"/>
    <w:rsid w:val="006666A7"/>
    <w:rsid w:val="00670600"/>
    <w:rsid w:val="006730E1"/>
    <w:rsid w:val="00676F28"/>
    <w:rsid w:val="00691F8E"/>
    <w:rsid w:val="006940CB"/>
    <w:rsid w:val="006D37E0"/>
    <w:rsid w:val="006D3BB2"/>
    <w:rsid w:val="006D4282"/>
    <w:rsid w:val="007272CB"/>
    <w:rsid w:val="007B7B54"/>
    <w:rsid w:val="007D3094"/>
    <w:rsid w:val="007D5CE7"/>
    <w:rsid w:val="007D6060"/>
    <w:rsid w:val="007D6352"/>
    <w:rsid w:val="00824536"/>
    <w:rsid w:val="00831323"/>
    <w:rsid w:val="00847532"/>
    <w:rsid w:val="008966C1"/>
    <w:rsid w:val="008B213B"/>
    <w:rsid w:val="008F2FA4"/>
    <w:rsid w:val="00902046"/>
    <w:rsid w:val="009035D9"/>
    <w:rsid w:val="009046BA"/>
    <w:rsid w:val="00913074"/>
    <w:rsid w:val="00944DF9"/>
    <w:rsid w:val="0094551B"/>
    <w:rsid w:val="00965438"/>
    <w:rsid w:val="0096678C"/>
    <w:rsid w:val="009817E7"/>
    <w:rsid w:val="00987595"/>
    <w:rsid w:val="009B28C7"/>
    <w:rsid w:val="009D4DC0"/>
    <w:rsid w:val="009F46D0"/>
    <w:rsid w:val="00A13F4A"/>
    <w:rsid w:val="00A15293"/>
    <w:rsid w:val="00A23787"/>
    <w:rsid w:val="00A5448C"/>
    <w:rsid w:val="00A54F05"/>
    <w:rsid w:val="00A604D5"/>
    <w:rsid w:val="00AA54EF"/>
    <w:rsid w:val="00AB5568"/>
    <w:rsid w:val="00AC46B5"/>
    <w:rsid w:val="00AD2BE6"/>
    <w:rsid w:val="00B11FF2"/>
    <w:rsid w:val="00B13E1A"/>
    <w:rsid w:val="00B17469"/>
    <w:rsid w:val="00B215B7"/>
    <w:rsid w:val="00B329A9"/>
    <w:rsid w:val="00B5378D"/>
    <w:rsid w:val="00B57837"/>
    <w:rsid w:val="00B66455"/>
    <w:rsid w:val="00B74A23"/>
    <w:rsid w:val="00B94C3A"/>
    <w:rsid w:val="00BD0049"/>
    <w:rsid w:val="00BD69FE"/>
    <w:rsid w:val="00BE3AF2"/>
    <w:rsid w:val="00BE4B82"/>
    <w:rsid w:val="00C376F3"/>
    <w:rsid w:val="00C455AA"/>
    <w:rsid w:val="00C55A58"/>
    <w:rsid w:val="00C55FD5"/>
    <w:rsid w:val="00C709C0"/>
    <w:rsid w:val="00C90CA2"/>
    <w:rsid w:val="00CC2829"/>
    <w:rsid w:val="00CF0535"/>
    <w:rsid w:val="00CF7693"/>
    <w:rsid w:val="00D1274F"/>
    <w:rsid w:val="00D2647A"/>
    <w:rsid w:val="00D362BA"/>
    <w:rsid w:val="00D65E57"/>
    <w:rsid w:val="00D86952"/>
    <w:rsid w:val="00E14335"/>
    <w:rsid w:val="00E22389"/>
    <w:rsid w:val="00E52056"/>
    <w:rsid w:val="00E61930"/>
    <w:rsid w:val="00E671D5"/>
    <w:rsid w:val="00E908EA"/>
    <w:rsid w:val="00E9218B"/>
    <w:rsid w:val="00EA3759"/>
    <w:rsid w:val="00EA3B2E"/>
    <w:rsid w:val="00EA64BD"/>
    <w:rsid w:val="00EB0AFB"/>
    <w:rsid w:val="00EC4F8B"/>
    <w:rsid w:val="00ED43C1"/>
    <w:rsid w:val="00EE0780"/>
    <w:rsid w:val="00EF3EC7"/>
    <w:rsid w:val="00F01914"/>
    <w:rsid w:val="00F17735"/>
    <w:rsid w:val="00F366D1"/>
    <w:rsid w:val="00F504B8"/>
    <w:rsid w:val="00F528FC"/>
    <w:rsid w:val="00F569BC"/>
    <w:rsid w:val="00F7496A"/>
    <w:rsid w:val="00F935EC"/>
    <w:rsid w:val="00FC49CA"/>
    <w:rsid w:val="00FE1457"/>
    <w:rsid w:val="00FF6EA7"/>
    <w:rsid w:val="00FF7B7F"/>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6FB287"/>
  <w14:defaultImageDpi w14:val="300"/>
  <w15:docId w15:val="{3409A5B0-D5F0-4EF8-A8AC-CFEBA855B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l-BE"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2515"/>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next w:val="Normal"/>
    <w:link w:val="Heading2Char"/>
    <w:uiPriority w:val="9"/>
    <w:unhideWhenUsed/>
    <w:qFormat/>
    <w:rsid w:val="00BD69F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3787"/>
    <w:rPr>
      <w:color w:val="0000FF" w:themeColor="hyperlink"/>
      <w:u w:val="single"/>
    </w:rPr>
  </w:style>
  <w:style w:type="paragraph" w:styleId="BalloonText">
    <w:name w:val="Balloon Text"/>
    <w:basedOn w:val="Normal"/>
    <w:link w:val="BalloonTextChar"/>
    <w:uiPriority w:val="99"/>
    <w:semiHidden/>
    <w:unhideWhenUsed/>
    <w:rsid w:val="000559C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59CB"/>
    <w:rPr>
      <w:rFonts w:ascii="Lucida Grande" w:hAnsi="Lucida Grande" w:cs="Lucida Grande"/>
      <w:sz w:val="18"/>
      <w:szCs w:val="18"/>
    </w:rPr>
  </w:style>
  <w:style w:type="character" w:styleId="CommentReference">
    <w:name w:val="annotation reference"/>
    <w:basedOn w:val="DefaultParagraphFont"/>
    <w:uiPriority w:val="99"/>
    <w:semiHidden/>
    <w:unhideWhenUsed/>
    <w:rsid w:val="000559CB"/>
    <w:rPr>
      <w:sz w:val="18"/>
      <w:szCs w:val="18"/>
    </w:rPr>
  </w:style>
  <w:style w:type="paragraph" w:styleId="CommentText">
    <w:name w:val="annotation text"/>
    <w:basedOn w:val="Normal"/>
    <w:link w:val="CommentTextChar"/>
    <w:uiPriority w:val="99"/>
    <w:semiHidden/>
    <w:unhideWhenUsed/>
    <w:rsid w:val="000559CB"/>
  </w:style>
  <w:style w:type="character" w:customStyle="1" w:styleId="CommentTextChar">
    <w:name w:val="Comment Text Char"/>
    <w:basedOn w:val="DefaultParagraphFont"/>
    <w:link w:val="CommentText"/>
    <w:uiPriority w:val="99"/>
    <w:semiHidden/>
    <w:rsid w:val="000559CB"/>
  </w:style>
  <w:style w:type="paragraph" w:styleId="CommentSubject">
    <w:name w:val="annotation subject"/>
    <w:basedOn w:val="CommentText"/>
    <w:next w:val="CommentText"/>
    <w:link w:val="CommentSubjectChar"/>
    <w:uiPriority w:val="99"/>
    <w:semiHidden/>
    <w:unhideWhenUsed/>
    <w:rsid w:val="000559CB"/>
    <w:rPr>
      <w:b/>
      <w:bCs/>
      <w:sz w:val="20"/>
      <w:szCs w:val="20"/>
    </w:rPr>
  </w:style>
  <w:style w:type="character" w:customStyle="1" w:styleId="CommentSubjectChar">
    <w:name w:val="Comment Subject Char"/>
    <w:basedOn w:val="CommentTextChar"/>
    <w:link w:val="CommentSubject"/>
    <w:uiPriority w:val="99"/>
    <w:semiHidden/>
    <w:rsid w:val="000559CB"/>
    <w:rPr>
      <w:b/>
      <w:bCs/>
      <w:sz w:val="20"/>
      <w:szCs w:val="20"/>
    </w:rPr>
  </w:style>
  <w:style w:type="paragraph" w:styleId="ListParagraph">
    <w:name w:val="List Paragraph"/>
    <w:basedOn w:val="Normal"/>
    <w:uiPriority w:val="34"/>
    <w:qFormat/>
    <w:rsid w:val="00965438"/>
    <w:pPr>
      <w:ind w:left="720"/>
      <w:contextualSpacing/>
    </w:pPr>
  </w:style>
  <w:style w:type="paragraph" w:styleId="Header">
    <w:name w:val="header"/>
    <w:basedOn w:val="Normal"/>
    <w:link w:val="HeaderChar"/>
    <w:uiPriority w:val="99"/>
    <w:unhideWhenUsed/>
    <w:rsid w:val="004E4BBA"/>
    <w:pPr>
      <w:tabs>
        <w:tab w:val="center" w:pos="4320"/>
        <w:tab w:val="right" w:pos="8640"/>
      </w:tabs>
    </w:pPr>
  </w:style>
  <w:style w:type="character" w:customStyle="1" w:styleId="HeaderChar">
    <w:name w:val="Header Char"/>
    <w:basedOn w:val="DefaultParagraphFont"/>
    <w:link w:val="Header"/>
    <w:uiPriority w:val="99"/>
    <w:rsid w:val="004E4BBA"/>
  </w:style>
  <w:style w:type="paragraph" w:styleId="Footer">
    <w:name w:val="footer"/>
    <w:basedOn w:val="Normal"/>
    <w:link w:val="FooterChar"/>
    <w:uiPriority w:val="99"/>
    <w:unhideWhenUsed/>
    <w:rsid w:val="004E4BBA"/>
    <w:pPr>
      <w:tabs>
        <w:tab w:val="center" w:pos="4320"/>
        <w:tab w:val="right" w:pos="8640"/>
      </w:tabs>
    </w:pPr>
  </w:style>
  <w:style w:type="character" w:customStyle="1" w:styleId="FooterChar">
    <w:name w:val="Footer Char"/>
    <w:basedOn w:val="DefaultParagraphFont"/>
    <w:link w:val="Footer"/>
    <w:uiPriority w:val="99"/>
    <w:rsid w:val="004E4BBA"/>
  </w:style>
  <w:style w:type="table" w:styleId="TableGrid">
    <w:name w:val="Table Grid"/>
    <w:basedOn w:val="TableNormal"/>
    <w:uiPriority w:val="59"/>
    <w:rsid w:val="00463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D2515"/>
    <w:rPr>
      <w:rFonts w:asciiTheme="majorHAnsi" w:eastAsiaTheme="majorEastAsia" w:hAnsiTheme="majorHAnsi" w:cstheme="majorBidi"/>
      <w:color w:val="365F91" w:themeColor="accent1" w:themeShade="BF"/>
      <w:sz w:val="32"/>
      <w:szCs w:val="32"/>
      <w:lang w:eastAsia="en-US"/>
    </w:rPr>
  </w:style>
  <w:style w:type="character" w:styleId="FollowedHyperlink">
    <w:name w:val="FollowedHyperlink"/>
    <w:basedOn w:val="DefaultParagraphFont"/>
    <w:uiPriority w:val="99"/>
    <w:semiHidden/>
    <w:unhideWhenUsed/>
    <w:rsid w:val="00E22389"/>
    <w:rPr>
      <w:color w:val="800080" w:themeColor="followedHyperlink"/>
      <w:u w:val="single"/>
    </w:rPr>
  </w:style>
  <w:style w:type="character" w:customStyle="1" w:styleId="Heading2Char">
    <w:name w:val="Heading 2 Char"/>
    <w:basedOn w:val="DefaultParagraphFont"/>
    <w:link w:val="Heading2"/>
    <w:uiPriority w:val="9"/>
    <w:rsid w:val="00BD69FE"/>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5B6C75"/>
    <w:rPr>
      <w:color w:val="808080"/>
      <w:shd w:val="clear" w:color="auto" w:fill="E6E6E6"/>
    </w:rPr>
  </w:style>
  <w:style w:type="paragraph" w:customStyle="1" w:styleId="CCBBody">
    <w:name w:val="CCB Body"/>
    <w:basedOn w:val="Normal"/>
    <w:qFormat/>
    <w:rsid w:val="005A4DC9"/>
    <w:pPr>
      <w:spacing w:line="276" w:lineRule="auto"/>
      <w:ind w:left="284"/>
    </w:pPr>
    <w:rPr>
      <w:rFonts w:ascii="Avenir Roman" w:eastAsiaTheme="minorHAnsi" w:hAnsi="Avenir Roman" w:cs="Calibri"/>
      <w:color w:val="00314B"/>
      <w:sz w:val="20"/>
      <w:szCs w:val="20"/>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234526">
      <w:bodyDiv w:val="1"/>
      <w:marLeft w:val="0"/>
      <w:marRight w:val="0"/>
      <w:marTop w:val="0"/>
      <w:marBottom w:val="0"/>
      <w:divBdr>
        <w:top w:val="none" w:sz="0" w:space="0" w:color="auto"/>
        <w:left w:val="none" w:sz="0" w:space="0" w:color="auto"/>
        <w:bottom w:val="none" w:sz="0" w:space="0" w:color="auto"/>
        <w:right w:val="none" w:sz="0" w:space="0" w:color="auto"/>
      </w:divBdr>
    </w:div>
    <w:div w:id="1229347093">
      <w:bodyDiv w:val="1"/>
      <w:marLeft w:val="0"/>
      <w:marRight w:val="0"/>
      <w:marTop w:val="0"/>
      <w:marBottom w:val="0"/>
      <w:divBdr>
        <w:top w:val="none" w:sz="0" w:space="0" w:color="auto"/>
        <w:left w:val="none" w:sz="0" w:space="0" w:color="auto"/>
        <w:bottom w:val="none" w:sz="0" w:space="0" w:color="auto"/>
        <w:right w:val="none" w:sz="0" w:space="0" w:color="auto"/>
      </w:divBdr>
    </w:div>
    <w:div w:id="1261454035">
      <w:bodyDiv w:val="1"/>
      <w:marLeft w:val="0"/>
      <w:marRight w:val="0"/>
      <w:marTop w:val="0"/>
      <w:marBottom w:val="0"/>
      <w:divBdr>
        <w:top w:val="none" w:sz="0" w:space="0" w:color="auto"/>
        <w:left w:val="none" w:sz="0" w:space="0" w:color="auto"/>
        <w:bottom w:val="none" w:sz="0" w:space="0" w:color="auto"/>
        <w:right w:val="none" w:sz="0" w:space="0" w:color="auto"/>
      </w:divBdr>
    </w:div>
    <w:div w:id="1271162074">
      <w:bodyDiv w:val="1"/>
      <w:marLeft w:val="0"/>
      <w:marRight w:val="0"/>
      <w:marTop w:val="0"/>
      <w:marBottom w:val="0"/>
      <w:divBdr>
        <w:top w:val="none" w:sz="0" w:space="0" w:color="auto"/>
        <w:left w:val="none" w:sz="0" w:space="0" w:color="auto"/>
        <w:bottom w:val="none" w:sz="0" w:space="0" w:color="auto"/>
        <w:right w:val="none" w:sz="0" w:space="0" w:color="auto"/>
      </w:divBdr>
    </w:div>
    <w:div w:id="16971959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yperlink" Target="mailto:Andries.bomans@ccb.belgium.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ccb.belgium.be"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rdacht@safeonweb.be" TargetMode="External"/><Relationship Id="rId5" Type="http://schemas.openxmlformats.org/officeDocument/2006/relationships/numbering" Target="numbering.xml"/><Relationship Id="rId15" Type="http://schemas.openxmlformats.org/officeDocument/2006/relationships/hyperlink" Target="mailto:verdacht@safeonweb.b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feonweb.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0D8B34882CF446B0DF5FBE6E9F7C69" ma:contentTypeVersion="0" ma:contentTypeDescription="Create a new document." ma:contentTypeScope="" ma:versionID="f8cd78cc4876490ef28bbcb1c0fe20d9">
  <xsd:schema xmlns:xsd="http://www.w3.org/2001/XMLSchema" xmlns:xs="http://www.w3.org/2001/XMLSchema" xmlns:p="http://schemas.microsoft.com/office/2006/metadata/properties" targetNamespace="http://schemas.microsoft.com/office/2006/metadata/properties" ma:root="true" ma:fieldsID="5b9cc9b962399b0ecb7eb944e7e637c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AA78B-FD35-4FAB-9C4A-919E5E8B5A48}">
  <ds:schemaRefs>
    <ds:schemaRef ds:uri="http://schemas.microsoft.com/sharepoint/v3/contenttype/forms"/>
  </ds:schemaRefs>
</ds:datastoreItem>
</file>

<file path=customXml/itemProps2.xml><?xml version="1.0" encoding="utf-8"?>
<ds:datastoreItem xmlns:ds="http://schemas.openxmlformats.org/officeDocument/2006/customXml" ds:itemID="{03BEA391-057D-4A1A-965D-D992571CCB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9E0918-BD10-4A5E-A693-6B21A6A550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E8D5137-6FA8-47EE-AF9A-C1D4862B8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1210</Words>
  <Characters>6659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RCA</dc:creator>
  <cp:keywords/>
  <dc:description/>
  <cp:lastModifiedBy>Eggers Katrien</cp:lastModifiedBy>
  <cp:revision>2</cp:revision>
  <cp:lastPrinted>2017-09-14T11:45:00Z</cp:lastPrinted>
  <dcterms:created xsi:type="dcterms:W3CDTF">2018-02-19T11:24:00Z</dcterms:created>
  <dcterms:modified xsi:type="dcterms:W3CDTF">2018-02-19T11:24:00Z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0x010100240D8B34882CF446B0DF5FBE6E9F7C69</vt:lpwstr>
  </property>
  <property fmtid="{D5CDD505-2E9C-101B-9397-08002B2CF9AE}" pid="3" name="IsMyDocuments">
    <vt:bool>true</vt:bool>
  </property>
</Properties>
</file>