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03" w:rsidRPr="00BB25F0" w:rsidRDefault="00644084" w:rsidP="00E0577A">
      <w:pPr>
        <w:pStyle w:val="Salutation"/>
        <w:pBdr>
          <w:bottom w:val="single" w:sz="6" w:space="1" w:color="auto"/>
        </w:pBdr>
        <w:jc w:val="both"/>
        <w:rPr>
          <w:rFonts w:cs="Arial"/>
          <w:lang w:val="fr-BE"/>
        </w:rPr>
      </w:pPr>
      <w:bookmarkStart w:id="0" w:name="_GoBack"/>
      <w:bookmarkEnd w:id="0"/>
      <w:r w:rsidRPr="00BB25F0">
        <w:rPr>
          <w:rFonts w:cs="Arial"/>
          <w:lang w:val="fr-BE"/>
        </w:rPr>
        <w:t>Communiqué de presse</w:t>
      </w:r>
      <w:r w:rsidRPr="00BB25F0">
        <w:rPr>
          <w:rFonts w:cs="Arial"/>
          <w:lang w:val="fr-BE"/>
        </w:rPr>
        <w:tab/>
      </w:r>
      <w:r w:rsidRPr="00BB25F0">
        <w:rPr>
          <w:rFonts w:cs="Arial"/>
          <w:lang w:val="fr-BE"/>
        </w:rPr>
        <w:tab/>
      </w:r>
      <w:r w:rsidRPr="00BB25F0">
        <w:rPr>
          <w:rFonts w:cs="Arial"/>
          <w:lang w:val="fr-BE"/>
        </w:rPr>
        <w:tab/>
      </w:r>
      <w:r w:rsidRPr="00BB25F0">
        <w:rPr>
          <w:rFonts w:cs="Arial"/>
          <w:lang w:val="fr-BE"/>
        </w:rPr>
        <w:tab/>
      </w:r>
      <w:r w:rsidRPr="00BB25F0">
        <w:rPr>
          <w:rFonts w:cs="Arial"/>
          <w:lang w:val="fr-BE"/>
        </w:rPr>
        <w:tab/>
      </w:r>
      <w:r w:rsidRPr="00BB25F0">
        <w:rPr>
          <w:rFonts w:cs="Arial"/>
          <w:lang w:val="fr-BE"/>
        </w:rPr>
        <w:tab/>
      </w:r>
      <w:r w:rsidR="00E80C03" w:rsidRPr="00BB25F0">
        <w:rPr>
          <w:rFonts w:cs="Arial"/>
          <w:lang w:val="fr-BE"/>
        </w:rPr>
        <w:tab/>
        <w:t xml:space="preserve">Bruxelles, le </w:t>
      </w:r>
      <w:r w:rsidR="0027743F">
        <w:rPr>
          <w:rFonts w:cs="Arial"/>
          <w:lang w:val="fr-BE"/>
        </w:rPr>
        <w:t>10 novembre</w:t>
      </w:r>
      <w:r w:rsidR="00BB25F0" w:rsidRPr="00BB25F0">
        <w:rPr>
          <w:rFonts w:cs="Arial"/>
          <w:lang w:val="fr-BE"/>
        </w:rPr>
        <w:t xml:space="preserve"> 201</w:t>
      </w:r>
      <w:r w:rsidR="0027743F">
        <w:rPr>
          <w:rFonts w:cs="Arial"/>
          <w:lang w:val="fr-BE"/>
        </w:rPr>
        <w:t>7</w:t>
      </w:r>
    </w:p>
    <w:p w:rsidR="0018617C" w:rsidRDefault="0018617C" w:rsidP="00E9683E">
      <w:pPr>
        <w:jc w:val="center"/>
        <w:rPr>
          <w:rFonts w:cs="Arial"/>
          <w:b/>
          <w:color w:val="0070C0"/>
          <w:sz w:val="24"/>
          <w:szCs w:val="24"/>
          <w:lang w:val="fr-BE"/>
        </w:rPr>
      </w:pPr>
    </w:p>
    <w:p w:rsidR="00E9683E" w:rsidRDefault="00E9683E" w:rsidP="00E9683E">
      <w:pPr>
        <w:jc w:val="center"/>
        <w:rPr>
          <w:rFonts w:cs="Arial"/>
          <w:b/>
          <w:color w:val="0070C0"/>
          <w:sz w:val="24"/>
          <w:szCs w:val="24"/>
          <w:lang w:val="fr-BE"/>
        </w:rPr>
      </w:pPr>
      <w:r w:rsidRPr="00E9683E">
        <w:rPr>
          <w:rFonts w:cs="Arial"/>
          <w:b/>
          <w:color w:val="0070C0"/>
          <w:sz w:val="24"/>
          <w:szCs w:val="24"/>
          <w:lang w:val="fr-BE"/>
        </w:rPr>
        <w:t>Défense</w:t>
      </w:r>
      <w:r>
        <w:rPr>
          <w:rFonts w:cs="Arial"/>
          <w:b/>
          <w:color w:val="0070C0"/>
          <w:sz w:val="24"/>
          <w:szCs w:val="24"/>
          <w:lang w:val="fr-BE"/>
        </w:rPr>
        <w:t xml:space="preserve"> </w:t>
      </w:r>
      <w:r w:rsidRPr="00E9683E">
        <w:rPr>
          <w:rFonts w:cs="Arial"/>
          <w:b/>
          <w:color w:val="0070C0"/>
          <w:sz w:val="24"/>
          <w:szCs w:val="24"/>
          <w:lang w:val="fr-BE"/>
        </w:rPr>
        <w:t xml:space="preserve">: le Conseil des </w:t>
      </w:r>
      <w:r>
        <w:rPr>
          <w:rFonts w:cs="Arial"/>
          <w:b/>
          <w:color w:val="0070C0"/>
          <w:sz w:val="24"/>
          <w:szCs w:val="24"/>
          <w:lang w:val="fr-BE"/>
        </w:rPr>
        <w:t>M</w:t>
      </w:r>
      <w:r w:rsidRPr="00E9683E">
        <w:rPr>
          <w:rFonts w:cs="Arial"/>
          <w:b/>
          <w:color w:val="0070C0"/>
          <w:sz w:val="24"/>
          <w:szCs w:val="24"/>
          <w:lang w:val="fr-BE"/>
        </w:rPr>
        <w:t>inistres approuve le</w:t>
      </w:r>
      <w:r w:rsidR="00FD1D0A">
        <w:rPr>
          <w:rFonts w:cs="Arial"/>
          <w:b/>
          <w:color w:val="0070C0"/>
          <w:sz w:val="24"/>
          <w:szCs w:val="24"/>
          <w:lang w:val="fr-BE"/>
        </w:rPr>
        <w:t xml:space="preserve"> plan de</w:t>
      </w:r>
      <w:r w:rsidRPr="00E9683E">
        <w:rPr>
          <w:rFonts w:cs="Arial"/>
          <w:b/>
          <w:color w:val="0070C0"/>
          <w:sz w:val="24"/>
          <w:szCs w:val="24"/>
          <w:lang w:val="fr-BE"/>
        </w:rPr>
        <w:t>s opérations 2018</w:t>
      </w:r>
    </w:p>
    <w:p w:rsidR="0018617C" w:rsidRDefault="0018617C" w:rsidP="0088727F">
      <w:pPr>
        <w:spacing w:before="120"/>
        <w:rPr>
          <w:rFonts w:cs="Arial"/>
          <w:lang w:val="fr-BE"/>
        </w:rPr>
      </w:pPr>
    </w:p>
    <w:p w:rsidR="007E508F" w:rsidRDefault="0088727F" w:rsidP="0088727F">
      <w:pPr>
        <w:spacing w:before="120"/>
        <w:rPr>
          <w:rFonts w:cs="Arial"/>
          <w:lang w:val="fr-BE"/>
        </w:rPr>
      </w:pPr>
      <w:r>
        <w:rPr>
          <w:rFonts w:cs="Arial"/>
          <w:lang w:val="fr-BE"/>
        </w:rPr>
        <w:t xml:space="preserve">Steven Vandeput, ministre de la Défense : </w:t>
      </w:r>
      <w:r w:rsidR="007E508F" w:rsidRPr="007E508F">
        <w:rPr>
          <w:rFonts w:cs="Arial"/>
          <w:lang w:val="fr-BE"/>
        </w:rPr>
        <w:t>«</w:t>
      </w:r>
      <w:r w:rsidR="007E508F">
        <w:rPr>
          <w:rFonts w:cs="Arial"/>
          <w:lang w:val="fr-BE"/>
        </w:rPr>
        <w:t xml:space="preserve"> </w:t>
      </w:r>
      <w:r w:rsidR="008F5032">
        <w:rPr>
          <w:rFonts w:cs="Arial"/>
          <w:lang w:val="fr-BE"/>
        </w:rPr>
        <w:t>L’implémentation</w:t>
      </w:r>
      <w:r w:rsidR="007E508F" w:rsidRPr="007E508F">
        <w:rPr>
          <w:rFonts w:cs="Arial"/>
          <w:lang w:val="fr-BE"/>
        </w:rPr>
        <w:t xml:space="preserve"> de la vision stratégique est en cours. L'accent est mis sur les tâches clés d'une part et sur l'élimination des tâches non-militaires d'autre part. Cela augmente la disponibilité des militaires. Le plan des opérations 2018 tient compte de l'analyse de notre environnement sécuritaire et reflète le fait que nous sommes un partenaire loyal au sein de l'OTAN, de l'UE et de l'ONU. La lutte contre le terrorisme et le radicalisme aussi bien à l'intérieur qu’à l'extérieur de nos frontières reste la priorité absolue de la Défense.</w:t>
      </w:r>
      <w:r w:rsidR="007E508F">
        <w:rPr>
          <w:rFonts w:cs="Arial"/>
          <w:lang w:val="fr-BE"/>
        </w:rPr>
        <w:t> »</w:t>
      </w:r>
    </w:p>
    <w:p w:rsidR="00BB25F0" w:rsidRPr="00BB25F0" w:rsidRDefault="00BB25F0" w:rsidP="006241E6">
      <w:pPr>
        <w:rPr>
          <w:rFonts w:cs="Arial"/>
          <w:lang w:val="fr-BE"/>
        </w:rPr>
      </w:pPr>
      <w:r w:rsidRPr="00BB25F0">
        <w:rPr>
          <w:rFonts w:cs="Arial"/>
          <w:lang w:val="fr-BE"/>
        </w:rPr>
        <w:t>Ci-dessous, une liste non-exhaustive des opérations et entraînements</w:t>
      </w:r>
      <w:r w:rsidR="008F5032">
        <w:rPr>
          <w:rFonts w:cs="Arial"/>
          <w:lang w:val="fr-BE"/>
        </w:rPr>
        <w:t xml:space="preserve"> principaux prévus</w:t>
      </w:r>
      <w:r w:rsidRPr="00BB25F0">
        <w:rPr>
          <w:rFonts w:cs="Arial"/>
          <w:lang w:val="fr-BE"/>
        </w:rPr>
        <w:t xml:space="preserve"> en 201</w:t>
      </w:r>
      <w:r w:rsidR="00BA6BFD">
        <w:rPr>
          <w:rFonts w:cs="Arial"/>
          <w:lang w:val="fr-BE"/>
        </w:rPr>
        <w:t>8</w:t>
      </w:r>
      <w:r w:rsidRPr="00BB25F0">
        <w:rPr>
          <w:rFonts w:cs="Arial"/>
          <w:lang w:val="fr-BE"/>
        </w:rPr>
        <w:t xml:space="preserve"> :</w:t>
      </w:r>
    </w:p>
    <w:p w:rsidR="00BB25F0" w:rsidRPr="00D3122A" w:rsidRDefault="00F77C15" w:rsidP="00D3122A">
      <w:pPr>
        <w:rPr>
          <w:rFonts w:cs="Arial"/>
          <w:b/>
          <w:u w:val="single"/>
          <w:lang w:val="fr-BE"/>
        </w:rPr>
      </w:pPr>
      <w:r>
        <w:rPr>
          <w:rFonts w:cs="Arial"/>
          <w:b/>
          <w:u w:val="single"/>
          <w:lang w:val="fr-BE"/>
        </w:rPr>
        <w:t>I</w:t>
      </w:r>
      <w:r w:rsidR="00DC4209">
        <w:rPr>
          <w:rFonts w:cs="Arial"/>
          <w:b/>
          <w:u w:val="single"/>
          <w:lang w:val="fr-BE"/>
        </w:rPr>
        <w:t>.</w:t>
      </w:r>
      <w:r w:rsidR="00971C28">
        <w:rPr>
          <w:rFonts w:cs="Arial"/>
          <w:b/>
          <w:u w:val="single"/>
          <w:lang w:val="fr-BE"/>
        </w:rPr>
        <w:t xml:space="preserve"> </w:t>
      </w:r>
      <w:r w:rsidR="00BB25F0" w:rsidRPr="00D3122A">
        <w:rPr>
          <w:rFonts w:cs="Arial"/>
          <w:b/>
          <w:u w:val="single"/>
          <w:lang w:val="fr-BE"/>
        </w:rPr>
        <w:t xml:space="preserve">La </w:t>
      </w:r>
      <w:r w:rsidR="00FE3531" w:rsidRPr="00D3122A">
        <w:rPr>
          <w:rFonts w:cs="Arial"/>
          <w:b/>
          <w:u w:val="single"/>
          <w:lang w:val="fr-BE"/>
        </w:rPr>
        <w:t>lutte contre le terrorisme</w:t>
      </w:r>
    </w:p>
    <w:p w:rsidR="005C036E" w:rsidRDefault="005C036E" w:rsidP="0088727F">
      <w:pPr>
        <w:tabs>
          <w:tab w:val="num" w:pos="1276"/>
        </w:tabs>
        <w:spacing w:before="120"/>
        <w:rPr>
          <w:rFonts w:cs="Arial"/>
          <w:lang w:val="fr-BE" w:eastAsia="fr-FR"/>
        </w:rPr>
      </w:pPr>
      <w:r w:rsidRPr="00A45DCE">
        <w:rPr>
          <w:rFonts w:cs="Arial"/>
          <w:lang w:val="fr-BE" w:eastAsia="fr-FR"/>
        </w:rPr>
        <w:t>En plus du maintien de l’appui fourni à la Police fédérale sur le territoire national, la Belgique veut</w:t>
      </w:r>
      <w:r w:rsidRPr="005C036E">
        <w:rPr>
          <w:rFonts w:cs="Arial"/>
          <w:lang w:val="fr-BE" w:eastAsia="fr-FR"/>
        </w:rPr>
        <w:t xml:space="preserve"> apporter une contribution significative à la coalition contre DAESH </w:t>
      </w:r>
      <w:r w:rsidR="00A45DCE">
        <w:rPr>
          <w:rFonts w:cs="Arial"/>
          <w:lang w:val="fr-BE" w:eastAsia="fr-FR"/>
        </w:rPr>
        <w:t>ainsi qu’</w:t>
      </w:r>
      <w:r w:rsidRPr="005C036E">
        <w:rPr>
          <w:rFonts w:cs="Arial"/>
          <w:lang w:val="fr-BE" w:eastAsia="fr-FR"/>
        </w:rPr>
        <w:t xml:space="preserve">aux opérations au Sahel et en Afghanistan. Dans le même temps, l'aide bilatérale à la Tunisie est </w:t>
      </w:r>
      <w:r w:rsidR="00D04E4B">
        <w:rPr>
          <w:rFonts w:cs="Arial"/>
          <w:lang w:val="fr-BE" w:eastAsia="fr-FR"/>
        </w:rPr>
        <w:t>réaffirmée</w:t>
      </w:r>
      <w:r w:rsidR="00A45DCE">
        <w:rPr>
          <w:rFonts w:cs="Arial"/>
          <w:lang w:val="fr-BE" w:eastAsia="fr-FR"/>
        </w:rPr>
        <w:t xml:space="preserve"> </w:t>
      </w:r>
      <w:r w:rsidRPr="005C036E">
        <w:rPr>
          <w:rFonts w:cs="Arial"/>
          <w:lang w:val="fr-BE" w:eastAsia="fr-FR"/>
        </w:rPr>
        <w:t>:</w:t>
      </w:r>
    </w:p>
    <w:p w:rsidR="00D27F96" w:rsidRPr="0088727F" w:rsidRDefault="00A05B5C" w:rsidP="00A05B5C">
      <w:pPr>
        <w:spacing w:before="200" w:after="0"/>
        <w:rPr>
          <w:rFonts w:cs="Arial"/>
          <w:bCs/>
          <w:i/>
          <w:u w:val="single"/>
          <w:lang w:val="fr-BE" w:eastAsia="fr-FR"/>
        </w:rPr>
      </w:pPr>
      <w:r w:rsidRPr="0088727F">
        <w:rPr>
          <w:rFonts w:cs="Arial"/>
          <w:bCs/>
          <w:i/>
          <w:u w:val="single"/>
          <w:lang w:val="fr-BE" w:eastAsia="fr-FR"/>
        </w:rPr>
        <w:t xml:space="preserve">1.1 </w:t>
      </w:r>
      <w:r w:rsidR="00D27F96" w:rsidRPr="0088727F">
        <w:rPr>
          <w:rFonts w:cs="Arial"/>
          <w:bCs/>
          <w:i/>
          <w:u w:val="single"/>
          <w:lang w:val="fr-BE" w:eastAsia="fr-FR"/>
        </w:rPr>
        <w:t xml:space="preserve">National </w:t>
      </w:r>
      <w:r w:rsidR="00DA627C" w:rsidRPr="0088727F">
        <w:rPr>
          <w:rFonts w:cs="Arial"/>
          <w:bCs/>
          <w:i/>
          <w:u w:val="single"/>
          <w:lang w:val="fr-BE" w:eastAsia="fr-FR"/>
        </w:rPr>
        <w:t>–</w:t>
      </w:r>
      <w:r w:rsidR="00D27F96" w:rsidRPr="0088727F">
        <w:rPr>
          <w:rFonts w:cs="Arial"/>
          <w:bCs/>
          <w:i/>
          <w:u w:val="single"/>
          <w:lang w:val="fr-BE" w:eastAsia="fr-FR"/>
        </w:rPr>
        <w:t xml:space="preserve"> </w:t>
      </w:r>
      <w:r w:rsidR="00DA627C" w:rsidRPr="0088727F">
        <w:rPr>
          <w:rFonts w:cs="Arial"/>
          <w:bCs/>
          <w:i/>
          <w:u w:val="single"/>
          <w:lang w:val="fr-BE" w:eastAsia="fr-FR"/>
        </w:rPr>
        <w:t xml:space="preserve">soutien à la Police fédérale – les militaires </w:t>
      </w:r>
      <w:r w:rsidR="00DE1545">
        <w:rPr>
          <w:rFonts w:cs="Arial"/>
          <w:bCs/>
          <w:i/>
          <w:u w:val="single"/>
          <w:lang w:val="fr-BE" w:eastAsia="fr-FR"/>
        </w:rPr>
        <w:t>en</w:t>
      </w:r>
      <w:r w:rsidR="00DA627C" w:rsidRPr="0088727F">
        <w:rPr>
          <w:rFonts w:cs="Arial"/>
          <w:bCs/>
          <w:i/>
          <w:u w:val="single"/>
          <w:lang w:val="fr-BE" w:eastAsia="fr-FR"/>
        </w:rPr>
        <w:t xml:space="preserve"> rue</w:t>
      </w:r>
    </w:p>
    <w:p w:rsidR="00DA627C" w:rsidRPr="00883F8A" w:rsidRDefault="00883F8A" w:rsidP="00C60835">
      <w:pPr>
        <w:spacing w:before="200" w:after="0"/>
        <w:rPr>
          <w:rFonts w:cs="Arial"/>
          <w:bCs/>
          <w:lang w:val="fr-BE" w:eastAsia="fr-FR"/>
        </w:rPr>
      </w:pPr>
      <w:r w:rsidRPr="00883F8A">
        <w:rPr>
          <w:rFonts w:cs="Arial"/>
          <w:bCs/>
          <w:lang w:val="fr-BE" w:eastAsia="fr-FR"/>
        </w:rPr>
        <w:t xml:space="preserve">La défense continuera à soutenir la police fédérale sur le territoire national </w:t>
      </w:r>
      <w:r w:rsidR="00D40D88">
        <w:rPr>
          <w:rFonts w:cs="Arial"/>
          <w:bCs/>
          <w:lang w:val="fr-BE" w:eastAsia="fr-FR"/>
        </w:rPr>
        <w:t xml:space="preserve">à partir du </w:t>
      </w:r>
      <w:r w:rsidRPr="00883F8A">
        <w:rPr>
          <w:rFonts w:cs="Arial"/>
          <w:bCs/>
          <w:lang w:val="fr-BE" w:eastAsia="fr-FR"/>
        </w:rPr>
        <w:t xml:space="preserve">niveau de menace 3 et en </w:t>
      </w:r>
      <w:r w:rsidR="00D40D88">
        <w:rPr>
          <w:rFonts w:cs="Arial"/>
          <w:bCs/>
          <w:lang w:val="fr-BE" w:eastAsia="fr-FR"/>
        </w:rPr>
        <w:t>fonction des</w:t>
      </w:r>
      <w:r w:rsidRPr="00883F8A">
        <w:rPr>
          <w:rFonts w:cs="Arial"/>
          <w:bCs/>
          <w:lang w:val="fr-BE" w:eastAsia="fr-FR"/>
        </w:rPr>
        <w:t xml:space="preserve"> décisions prises par le Conseil des ministres.</w:t>
      </w:r>
    </w:p>
    <w:p w:rsidR="00BB25F0" w:rsidRPr="0088727F" w:rsidRDefault="00D27F96" w:rsidP="00752B76">
      <w:pPr>
        <w:spacing w:before="200" w:after="0"/>
        <w:rPr>
          <w:rFonts w:cs="Arial"/>
          <w:i/>
          <w:u w:val="single"/>
          <w:lang w:val="fr-BE" w:eastAsia="en-US"/>
        </w:rPr>
      </w:pPr>
      <w:r w:rsidRPr="0088727F">
        <w:rPr>
          <w:rFonts w:cs="Arial"/>
          <w:bCs/>
          <w:i/>
          <w:u w:val="single"/>
          <w:lang w:val="fr-BE" w:eastAsia="fr-FR"/>
        </w:rPr>
        <w:t>1.2</w:t>
      </w:r>
      <w:r w:rsidR="00F27FBF" w:rsidRPr="0088727F">
        <w:rPr>
          <w:rFonts w:cs="Arial"/>
          <w:bCs/>
          <w:i/>
          <w:u w:val="single"/>
          <w:lang w:val="fr-BE" w:eastAsia="fr-FR"/>
        </w:rPr>
        <w:t xml:space="preserve"> Moyen Orient - </w:t>
      </w:r>
      <w:r w:rsidR="0012141F" w:rsidRPr="0088727F">
        <w:rPr>
          <w:rFonts w:cs="Arial"/>
          <w:bCs/>
          <w:i/>
          <w:u w:val="single"/>
          <w:lang w:val="fr-BE" w:eastAsia="fr-FR"/>
        </w:rPr>
        <w:t xml:space="preserve">La </w:t>
      </w:r>
      <w:r w:rsidR="00340038" w:rsidRPr="0088727F">
        <w:rPr>
          <w:rFonts w:cs="Arial"/>
          <w:bCs/>
          <w:i/>
          <w:u w:val="single"/>
          <w:lang w:val="fr-BE" w:eastAsia="fr-FR"/>
        </w:rPr>
        <w:t>Coalition contre IS / DA’ESH (Opération Inherent Resolve)</w:t>
      </w:r>
    </w:p>
    <w:p w:rsidR="00D74C07" w:rsidRDefault="00B72573" w:rsidP="00F27FBF">
      <w:pPr>
        <w:tabs>
          <w:tab w:val="left" w:pos="2523"/>
        </w:tabs>
        <w:spacing w:before="120"/>
        <w:jc w:val="both"/>
        <w:rPr>
          <w:rFonts w:cs="Arial"/>
          <w:lang w:val="fr-BE"/>
        </w:rPr>
      </w:pPr>
      <w:r w:rsidRPr="00B72573">
        <w:rPr>
          <w:rFonts w:cs="Arial"/>
          <w:lang w:val="fr-BE"/>
        </w:rPr>
        <w:t xml:space="preserve">Depuis la Conférence de Paris (septembre 2014), </w:t>
      </w:r>
      <w:r w:rsidR="00DE1545">
        <w:rPr>
          <w:rFonts w:cs="Arial"/>
          <w:lang w:val="fr-BE"/>
        </w:rPr>
        <w:t xml:space="preserve">une </w:t>
      </w:r>
      <w:r w:rsidRPr="00B72573">
        <w:rPr>
          <w:rFonts w:cs="Arial"/>
          <w:lang w:val="fr-BE"/>
        </w:rPr>
        <w:t>70</w:t>
      </w:r>
      <w:r w:rsidR="00DE1545">
        <w:rPr>
          <w:rFonts w:cs="Arial"/>
          <w:lang w:val="fr-BE"/>
        </w:rPr>
        <w:t xml:space="preserve"> aine</w:t>
      </w:r>
      <w:r w:rsidRPr="00B72573">
        <w:rPr>
          <w:rFonts w:cs="Arial"/>
          <w:lang w:val="fr-BE"/>
        </w:rPr>
        <w:t xml:space="preserve"> </w:t>
      </w:r>
      <w:r w:rsidR="00D04E4B">
        <w:rPr>
          <w:rFonts w:cs="Arial"/>
          <w:lang w:val="fr-BE"/>
        </w:rPr>
        <w:t xml:space="preserve">de </w:t>
      </w:r>
      <w:r w:rsidRPr="00B72573">
        <w:rPr>
          <w:rFonts w:cs="Arial"/>
          <w:lang w:val="fr-BE"/>
        </w:rPr>
        <w:t>pays ont</w:t>
      </w:r>
      <w:r w:rsidR="00D04E4B">
        <w:rPr>
          <w:rFonts w:cs="Arial"/>
          <w:lang w:val="fr-BE"/>
        </w:rPr>
        <w:t>, à la demande de l’Irak,</w:t>
      </w:r>
      <w:r w:rsidRPr="00B72573">
        <w:rPr>
          <w:rFonts w:cs="Arial"/>
          <w:lang w:val="fr-BE"/>
        </w:rPr>
        <w:t xml:space="preserve"> uni leurs forces pour soutenir ce pays avec tous les moyens nécessaires, y compris militaires, dans sa lutte contre IS / DAESH. La campagne militaire de la coalition en </w:t>
      </w:r>
      <w:r w:rsidR="00D04E4B">
        <w:rPr>
          <w:rFonts w:cs="Arial"/>
          <w:lang w:val="fr-BE"/>
        </w:rPr>
        <w:t xml:space="preserve">appui </w:t>
      </w:r>
      <w:r w:rsidRPr="00B72573">
        <w:rPr>
          <w:rFonts w:cs="Arial"/>
          <w:lang w:val="fr-BE"/>
        </w:rPr>
        <w:t xml:space="preserve">des forces armées locales est couronnée de succès mais nécessitera </w:t>
      </w:r>
      <w:r w:rsidR="007F7692">
        <w:rPr>
          <w:rFonts w:cs="Arial"/>
          <w:lang w:val="fr-BE"/>
        </w:rPr>
        <w:t xml:space="preserve">à nouveau une présence </w:t>
      </w:r>
      <w:r w:rsidRPr="00B72573">
        <w:rPr>
          <w:rFonts w:cs="Arial"/>
          <w:lang w:val="fr-BE"/>
        </w:rPr>
        <w:t>en 2018. La Défense continue de contribuer aux différents aspects de cette campagne.</w:t>
      </w:r>
    </w:p>
    <w:p w:rsidR="0014536C" w:rsidRPr="0014536C" w:rsidRDefault="0014536C" w:rsidP="0014536C">
      <w:pPr>
        <w:tabs>
          <w:tab w:val="left" w:pos="2523"/>
        </w:tabs>
        <w:spacing w:before="120"/>
        <w:jc w:val="both"/>
        <w:rPr>
          <w:rFonts w:cs="Arial"/>
          <w:lang w:val="fr-BE" w:eastAsia="fr-FR"/>
        </w:rPr>
      </w:pPr>
      <w:r w:rsidRPr="0014536C">
        <w:rPr>
          <w:rFonts w:cs="Arial"/>
          <w:lang w:val="fr-BE" w:eastAsia="fr-FR"/>
        </w:rPr>
        <w:t xml:space="preserve">Afin de permettre à l'Irak d'avoir à long terme des troupes fiables capables de garantir la souveraineté de l'Etat irakien sur l'ensemble du territoire, la coalition a développé un programme </w:t>
      </w:r>
      <w:r w:rsidR="007F7692">
        <w:rPr>
          <w:rFonts w:cs="Arial"/>
          <w:lang w:val="fr-BE" w:eastAsia="fr-FR"/>
        </w:rPr>
        <w:t>« building partner capacity »</w:t>
      </w:r>
      <w:r w:rsidRPr="0014536C">
        <w:rPr>
          <w:rFonts w:cs="Arial"/>
          <w:lang w:val="fr-BE" w:eastAsia="fr-FR"/>
        </w:rPr>
        <w:t>. La Défense continuera d</w:t>
      </w:r>
      <w:r w:rsidR="007F7692">
        <w:rPr>
          <w:rFonts w:cs="Arial"/>
          <w:lang w:val="fr-BE" w:eastAsia="fr-FR"/>
        </w:rPr>
        <w:t>’y</w:t>
      </w:r>
      <w:r w:rsidRPr="0014536C">
        <w:rPr>
          <w:rFonts w:cs="Arial"/>
          <w:lang w:val="fr-BE" w:eastAsia="fr-FR"/>
        </w:rPr>
        <w:t xml:space="preserve"> participer avec </w:t>
      </w:r>
      <w:r w:rsidR="00D034D9">
        <w:rPr>
          <w:rFonts w:cs="Arial"/>
          <w:lang w:val="fr-BE" w:eastAsia="fr-FR"/>
        </w:rPr>
        <w:t xml:space="preserve">environ </w:t>
      </w:r>
      <w:r w:rsidRPr="0014536C">
        <w:rPr>
          <w:rFonts w:cs="Arial"/>
          <w:lang w:val="fr-BE" w:eastAsia="fr-FR"/>
        </w:rPr>
        <w:t xml:space="preserve">10 </w:t>
      </w:r>
      <w:r w:rsidR="00D034D9">
        <w:rPr>
          <w:rFonts w:cs="Arial"/>
          <w:lang w:val="fr-BE" w:eastAsia="fr-FR"/>
        </w:rPr>
        <w:t>militaire</w:t>
      </w:r>
      <w:r w:rsidRPr="0014536C">
        <w:rPr>
          <w:rFonts w:cs="Arial"/>
          <w:lang w:val="fr-BE" w:eastAsia="fr-FR"/>
        </w:rPr>
        <w:t>s dans un rôle de «</w:t>
      </w:r>
      <w:r w:rsidR="004E12C9" w:rsidRPr="004E12C9">
        <w:rPr>
          <w:rFonts w:cs="Arial"/>
          <w:b/>
          <w:lang w:val="fr-BE" w:eastAsia="fr-FR"/>
        </w:rPr>
        <w:t>Train the Trainer</w:t>
      </w:r>
      <w:r w:rsidRPr="0014536C">
        <w:rPr>
          <w:rFonts w:cs="Arial"/>
          <w:lang w:val="fr-BE" w:eastAsia="fr-FR"/>
        </w:rPr>
        <w:t>».</w:t>
      </w:r>
    </w:p>
    <w:p w:rsidR="0014536C" w:rsidRDefault="000D389F" w:rsidP="00F27FBF">
      <w:pPr>
        <w:tabs>
          <w:tab w:val="left" w:pos="2523"/>
        </w:tabs>
        <w:spacing w:before="120"/>
        <w:jc w:val="both"/>
        <w:rPr>
          <w:rFonts w:cs="Arial"/>
          <w:lang w:val="fr-BE" w:eastAsia="fr-FR"/>
        </w:rPr>
      </w:pPr>
      <w:r w:rsidRPr="000D389F">
        <w:rPr>
          <w:rFonts w:cs="Arial"/>
          <w:lang w:val="fr-BE" w:eastAsia="fr-FR"/>
        </w:rPr>
        <w:t>En 2018, la Défense augmentera significativement sa participation dans le domaine «</w:t>
      </w:r>
      <w:r>
        <w:rPr>
          <w:rFonts w:cs="Arial"/>
          <w:lang w:val="fr-BE" w:eastAsia="fr-FR"/>
        </w:rPr>
        <w:t xml:space="preserve"> </w:t>
      </w:r>
      <w:r w:rsidRPr="000D389F">
        <w:rPr>
          <w:rFonts w:cs="Arial"/>
          <w:b/>
          <w:lang w:val="fr-BE" w:eastAsia="fr-FR"/>
        </w:rPr>
        <w:t>Train, Advise and Assist</w:t>
      </w:r>
      <w:r>
        <w:rPr>
          <w:rFonts w:cs="Arial"/>
          <w:lang w:val="fr-BE" w:eastAsia="fr-FR"/>
        </w:rPr>
        <w:t> » par le</w:t>
      </w:r>
      <w:r w:rsidRPr="000D389F">
        <w:rPr>
          <w:rFonts w:cs="Arial"/>
          <w:lang w:val="fr-BE" w:eastAsia="fr-FR"/>
        </w:rPr>
        <w:t xml:space="preserve"> déploiement d</w:t>
      </w:r>
      <w:r>
        <w:rPr>
          <w:rFonts w:cs="Arial"/>
          <w:lang w:val="fr-BE" w:eastAsia="fr-FR"/>
        </w:rPr>
        <w:t>’environ</w:t>
      </w:r>
      <w:r w:rsidRPr="000D389F">
        <w:rPr>
          <w:rFonts w:cs="Arial"/>
          <w:lang w:val="fr-BE" w:eastAsia="fr-FR"/>
        </w:rPr>
        <w:t xml:space="preserve"> 95 </w:t>
      </w:r>
      <w:r>
        <w:rPr>
          <w:rFonts w:cs="Arial"/>
          <w:lang w:val="fr-BE" w:eastAsia="fr-FR"/>
        </w:rPr>
        <w:t>militaire</w:t>
      </w:r>
      <w:r w:rsidRPr="000D389F">
        <w:rPr>
          <w:rFonts w:cs="Arial"/>
          <w:lang w:val="fr-BE" w:eastAsia="fr-FR"/>
        </w:rPr>
        <w:t xml:space="preserve">s. </w:t>
      </w:r>
      <w:r w:rsidR="00414AC8">
        <w:rPr>
          <w:rFonts w:cs="Arial"/>
          <w:lang w:val="fr-BE" w:eastAsia="fr-FR"/>
        </w:rPr>
        <w:t>Ceux-ci se déploieront sur tout le territoire irakien, à partir d’un point d’attache fixe dans le nord du pays.</w:t>
      </w:r>
    </w:p>
    <w:p w:rsidR="0018617C" w:rsidRPr="000D389F" w:rsidRDefault="0018617C" w:rsidP="00F27FBF">
      <w:pPr>
        <w:tabs>
          <w:tab w:val="left" w:pos="2523"/>
        </w:tabs>
        <w:spacing w:before="120"/>
        <w:jc w:val="both"/>
        <w:rPr>
          <w:rFonts w:cs="Arial"/>
          <w:lang w:val="fr-BE" w:eastAsia="fr-FR"/>
        </w:rPr>
      </w:pPr>
    </w:p>
    <w:p w:rsidR="00F06EFC" w:rsidRPr="00F27FBF" w:rsidRDefault="00E020C3" w:rsidP="00F27FBF">
      <w:pPr>
        <w:rPr>
          <w:rFonts w:cs="Arial"/>
          <w:lang w:val="fr-BE"/>
        </w:rPr>
      </w:pPr>
      <w:r w:rsidRPr="00F27FBF">
        <w:rPr>
          <w:rFonts w:cs="Arial"/>
          <w:lang w:val="fr-BE" w:eastAsia="fr-FR"/>
        </w:rPr>
        <w:t>L</w:t>
      </w:r>
      <w:r w:rsidR="00091BCC" w:rsidRPr="00F27FBF">
        <w:rPr>
          <w:rFonts w:cs="Arial"/>
          <w:lang w:val="fr-BE" w:eastAsia="fr-FR"/>
        </w:rPr>
        <w:t xml:space="preserve">a coalition poursuivra également les opérations aériennes pour combattre DA’ESH. La Belgique et les Pays-Bas participent conjointement à cette </w:t>
      </w:r>
      <w:r w:rsidR="00091BCC" w:rsidRPr="000947EA">
        <w:rPr>
          <w:rFonts w:cs="Arial"/>
          <w:lang w:val="fr-BE" w:eastAsia="fr-FR"/>
        </w:rPr>
        <w:t xml:space="preserve">opération d’appui aérien à partir d’une base </w:t>
      </w:r>
      <w:r w:rsidR="007F7692">
        <w:rPr>
          <w:rFonts w:cs="Arial"/>
          <w:lang w:val="fr-BE" w:eastAsia="fr-FR"/>
        </w:rPr>
        <w:t>en</w:t>
      </w:r>
      <w:r w:rsidR="00091BCC" w:rsidRPr="000947EA">
        <w:rPr>
          <w:rFonts w:cs="Arial"/>
          <w:lang w:val="fr-BE" w:eastAsia="fr-FR"/>
        </w:rPr>
        <w:t xml:space="preserve"> Jordanie.</w:t>
      </w:r>
      <w:r w:rsidR="00091BCC" w:rsidRPr="00F27FBF">
        <w:rPr>
          <w:rFonts w:cs="Arial"/>
          <w:lang w:val="fr-BE" w:eastAsia="fr-FR"/>
        </w:rPr>
        <w:t xml:space="preserve"> Etant </w:t>
      </w:r>
      <w:r w:rsidR="00091BCC" w:rsidRPr="00F27FBF">
        <w:rPr>
          <w:rFonts w:cs="Arial"/>
          <w:lang w:val="fr-BE" w:eastAsia="fr-FR"/>
        </w:rPr>
        <w:lastRenderedPageBreak/>
        <w:t>donné la présence de</w:t>
      </w:r>
      <w:r w:rsidR="00DE1545">
        <w:rPr>
          <w:rFonts w:cs="Arial"/>
          <w:lang w:val="fr-BE" w:eastAsia="fr-FR"/>
        </w:rPr>
        <w:t>s avions de chasse</w:t>
      </w:r>
      <w:r w:rsidR="007F7692">
        <w:rPr>
          <w:rFonts w:cs="Arial"/>
          <w:lang w:val="fr-BE" w:eastAsia="fr-FR"/>
        </w:rPr>
        <w:t xml:space="preserve"> </w:t>
      </w:r>
      <w:r w:rsidR="00091BCC" w:rsidRPr="00F27FBF">
        <w:rPr>
          <w:rFonts w:cs="Arial"/>
          <w:lang w:val="fr-BE" w:eastAsia="fr-FR"/>
        </w:rPr>
        <w:t>néerlandais en 2018, la Belgique fournir</w:t>
      </w:r>
      <w:r w:rsidR="000947EA">
        <w:rPr>
          <w:rFonts w:cs="Arial"/>
          <w:lang w:val="fr-BE" w:eastAsia="fr-FR"/>
        </w:rPr>
        <w:t>a</w:t>
      </w:r>
      <w:r w:rsidR="00091BCC" w:rsidRPr="00F27FBF">
        <w:rPr>
          <w:rFonts w:cs="Arial"/>
          <w:lang w:val="fr-BE" w:eastAsia="fr-FR"/>
        </w:rPr>
        <w:t xml:space="preserve"> </w:t>
      </w:r>
      <w:r w:rsidR="00091BCC" w:rsidRPr="000947EA">
        <w:rPr>
          <w:rFonts w:cs="Arial"/>
          <w:b/>
          <w:lang w:val="fr-BE" w:eastAsia="fr-FR"/>
        </w:rPr>
        <w:t xml:space="preserve">une unité de </w:t>
      </w:r>
      <w:r w:rsidR="007F7692">
        <w:rPr>
          <w:rFonts w:cs="Arial"/>
          <w:b/>
          <w:lang w:val="fr-BE" w:eastAsia="fr-FR"/>
        </w:rPr>
        <w:t>protection</w:t>
      </w:r>
      <w:r w:rsidR="00091BCC" w:rsidRPr="00F27FBF">
        <w:rPr>
          <w:rFonts w:cs="Arial"/>
          <w:lang w:val="fr-BE" w:eastAsia="fr-FR"/>
        </w:rPr>
        <w:t xml:space="preserve"> d’environ 30 militaires au profit des appareils néerlandais jusque fin 2018</w:t>
      </w:r>
      <w:r w:rsidR="00055CB9" w:rsidRPr="00F27FBF">
        <w:rPr>
          <w:rFonts w:cs="Arial"/>
          <w:lang w:val="fr-BE" w:eastAsia="fr-FR"/>
        </w:rPr>
        <w:t>.</w:t>
      </w:r>
    </w:p>
    <w:p w:rsidR="000947EA" w:rsidRDefault="00B40AD8" w:rsidP="000947EA">
      <w:pPr>
        <w:rPr>
          <w:rFonts w:cs="Arial"/>
          <w:lang w:val="fr-BE"/>
        </w:rPr>
      </w:pPr>
      <w:r w:rsidRPr="00B40AD8">
        <w:rPr>
          <w:rFonts w:cs="Arial"/>
          <w:lang w:val="fr-BE" w:eastAsia="fr-FR"/>
        </w:rPr>
        <w:t xml:space="preserve">La Défense </w:t>
      </w:r>
      <w:r w:rsidR="007F7692">
        <w:rPr>
          <w:rFonts w:cs="Arial"/>
          <w:lang w:val="fr-BE" w:eastAsia="fr-FR"/>
        </w:rPr>
        <w:t>met également</w:t>
      </w:r>
      <w:r w:rsidRPr="00B40AD8">
        <w:rPr>
          <w:rFonts w:cs="Arial"/>
          <w:lang w:val="fr-BE" w:eastAsia="fr-FR"/>
        </w:rPr>
        <w:t xml:space="preserve"> à disposition</w:t>
      </w:r>
      <w:r w:rsidR="000C713B">
        <w:rPr>
          <w:rFonts w:cs="Arial"/>
          <w:lang w:val="fr-BE" w:eastAsia="fr-FR"/>
        </w:rPr>
        <w:t xml:space="preserve"> </w:t>
      </w:r>
      <w:r w:rsidR="007F7692">
        <w:rPr>
          <w:rFonts w:cs="Arial"/>
          <w:lang w:val="fr-BE" w:eastAsia="fr-FR"/>
        </w:rPr>
        <w:t>le</w:t>
      </w:r>
      <w:r w:rsidR="000C713B" w:rsidRPr="000C713B">
        <w:rPr>
          <w:rFonts w:cs="Arial"/>
          <w:lang w:val="fr-BE" w:eastAsia="fr-FR"/>
        </w:rPr>
        <w:t xml:space="preserve"> personnel belge des </w:t>
      </w:r>
      <w:r w:rsidR="000C713B" w:rsidRPr="00E2117F">
        <w:rPr>
          <w:rFonts w:cs="Arial"/>
          <w:b/>
          <w:lang w:val="fr-BE" w:eastAsia="fr-FR"/>
        </w:rPr>
        <w:t>AWACS</w:t>
      </w:r>
      <w:r w:rsidR="000C713B" w:rsidRPr="000C713B">
        <w:rPr>
          <w:rFonts w:cs="Arial"/>
          <w:lang w:val="fr-BE" w:eastAsia="fr-FR"/>
        </w:rPr>
        <w:t xml:space="preserve"> (</w:t>
      </w:r>
      <w:r w:rsidR="00525D6A">
        <w:rPr>
          <w:rFonts w:cs="Arial"/>
          <w:lang w:val="fr-BE" w:eastAsia="fr-FR"/>
        </w:rPr>
        <w:t>‘’</w:t>
      </w:r>
      <w:r w:rsidR="000C713B" w:rsidRPr="000C713B">
        <w:rPr>
          <w:rFonts w:cs="Arial"/>
          <w:lang w:val="fr-BE" w:eastAsia="fr-FR"/>
        </w:rPr>
        <w:t>Airborne Warning and Control System</w:t>
      </w:r>
      <w:r w:rsidR="00525D6A">
        <w:rPr>
          <w:rFonts w:cs="Arial"/>
          <w:lang w:val="fr-BE" w:eastAsia="fr-FR"/>
        </w:rPr>
        <w:t>’’</w:t>
      </w:r>
      <w:r w:rsidR="000C713B" w:rsidRPr="000C713B">
        <w:rPr>
          <w:rFonts w:cs="Arial"/>
          <w:lang w:val="fr-BE" w:eastAsia="fr-FR"/>
        </w:rPr>
        <w:t xml:space="preserve">) </w:t>
      </w:r>
      <w:r w:rsidR="000C713B">
        <w:rPr>
          <w:rFonts w:cs="Arial"/>
          <w:lang w:val="fr-BE" w:eastAsia="fr-FR"/>
        </w:rPr>
        <w:t xml:space="preserve">qui </w:t>
      </w:r>
      <w:r w:rsidR="000C713B" w:rsidRPr="000C713B">
        <w:rPr>
          <w:rFonts w:cs="Arial"/>
          <w:lang w:val="fr-BE" w:eastAsia="fr-FR"/>
        </w:rPr>
        <w:t xml:space="preserve">appuiera l’opération </w:t>
      </w:r>
      <w:r w:rsidR="000947EA">
        <w:rPr>
          <w:rFonts w:cs="Arial"/>
          <w:lang w:val="fr-BE" w:eastAsia="fr-FR"/>
        </w:rPr>
        <w:t>(</w:t>
      </w:r>
      <w:r w:rsidR="007F7692">
        <w:rPr>
          <w:rFonts w:cs="Arial"/>
          <w:lang w:val="fr-BE" w:eastAsia="fr-FR"/>
        </w:rPr>
        <w:t xml:space="preserve">en moyenne </w:t>
      </w:r>
      <w:r w:rsidR="000C713B" w:rsidRPr="000C713B">
        <w:rPr>
          <w:rFonts w:cs="Arial"/>
          <w:lang w:val="fr-BE" w:eastAsia="fr-FR"/>
        </w:rPr>
        <w:t>2 militaires par an</w:t>
      </w:r>
      <w:r w:rsidR="000947EA">
        <w:rPr>
          <w:rFonts w:cs="Arial"/>
          <w:lang w:val="fr-BE" w:eastAsia="fr-FR"/>
        </w:rPr>
        <w:t>).</w:t>
      </w:r>
      <w:r w:rsidR="009F52B0">
        <w:rPr>
          <w:rFonts w:cs="Arial"/>
          <w:lang w:val="fr-BE" w:eastAsia="fr-FR"/>
        </w:rPr>
        <w:t xml:space="preserve"> </w:t>
      </w:r>
    </w:p>
    <w:p w:rsidR="000947EA" w:rsidRPr="0088727F" w:rsidRDefault="000947EA" w:rsidP="000947EA">
      <w:pPr>
        <w:rPr>
          <w:rFonts w:cs="Arial"/>
          <w:i/>
          <w:lang w:val="fr-BE"/>
        </w:rPr>
      </w:pPr>
      <w:r w:rsidRPr="0088727F">
        <w:rPr>
          <w:rFonts w:cs="Arial"/>
          <w:i/>
          <w:lang w:val="fr-BE"/>
        </w:rPr>
        <w:t>1.3 Le Sahel</w:t>
      </w:r>
    </w:p>
    <w:p w:rsidR="000947EA" w:rsidRDefault="007F7692" w:rsidP="000947EA">
      <w:pPr>
        <w:rPr>
          <w:rFonts w:cs="Arial"/>
          <w:lang w:val="fr-BE" w:eastAsia="fr-FR"/>
        </w:rPr>
      </w:pPr>
      <w:r>
        <w:rPr>
          <w:rFonts w:cs="Arial"/>
          <w:lang w:val="fr-BE"/>
        </w:rPr>
        <w:t>L</w:t>
      </w:r>
      <w:r w:rsidR="00DC0525" w:rsidRPr="000947EA">
        <w:rPr>
          <w:rFonts w:cs="Arial"/>
          <w:lang w:val="fr-BE" w:eastAsia="fr-FR"/>
        </w:rPr>
        <w:t xml:space="preserve">e 31 janvier 2018 marque la fin du commandement belge </w:t>
      </w:r>
      <w:r>
        <w:rPr>
          <w:rFonts w:cs="Arial"/>
          <w:lang w:val="fr-BE" w:eastAsia="fr-FR"/>
        </w:rPr>
        <w:t xml:space="preserve">de la mission européenne d’entrainement des forces armées maliennes (EUTM Mali) </w:t>
      </w:r>
      <w:r w:rsidR="00DC0525" w:rsidRPr="000947EA">
        <w:rPr>
          <w:rFonts w:cs="Arial"/>
          <w:lang w:val="fr-BE" w:eastAsia="fr-FR"/>
        </w:rPr>
        <w:t xml:space="preserve">et de l’engagement d’environ 175 militaires dans le cadre de cette mission. La Belgique maintiendra ensuite une vingtaine de militaires en appui de cette opération, </w:t>
      </w:r>
      <w:r w:rsidR="000947EA">
        <w:rPr>
          <w:rFonts w:cs="Arial"/>
          <w:lang w:val="fr-BE" w:eastAsia="fr-FR"/>
        </w:rPr>
        <w:t xml:space="preserve">en mettant l’accent sur sa participation </w:t>
      </w:r>
      <w:r w:rsidR="00DC0525" w:rsidRPr="000947EA">
        <w:rPr>
          <w:rFonts w:cs="Arial"/>
          <w:lang w:val="fr-BE" w:eastAsia="fr-FR"/>
        </w:rPr>
        <w:t xml:space="preserve">dans le cadre de son pilier de conseil. </w:t>
      </w:r>
    </w:p>
    <w:p w:rsidR="000F1C74" w:rsidRPr="000947EA" w:rsidRDefault="000947EA" w:rsidP="000947EA">
      <w:pPr>
        <w:rPr>
          <w:rFonts w:cs="Arial"/>
          <w:u w:val="single"/>
          <w:lang w:val="fr-BE"/>
        </w:rPr>
      </w:pPr>
      <w:r>
        <w:rPr>
          <w:rFonts w:cs="Arial"/>
          <w:lang w:val="fr-BE" w:eastAsia="fr-FR"/>
        </w:rPr>
        <w:t xml:space="preserve">La Belgique est candidate </w:t>
      </w:r>
      <w:r w:rsidR="000A54E4" w:rsidRPr="00350E36">
        <w:rPr>
          <w:rFonts w:cs="Arial"/>
          <w:lang w:val="fr-BE" w:eastAsia="fr-FR"/>
        </w:rPr>
        <w:t xml:space="preserve">pour l’obtention d’un siège non permanent au Conseil de sécurité </w:t>
      </w:r>
      <w:r w:rsidR="00D278E3">
        <w:rPr>
          <w:rFonts w:cs="Arial"/>
          <w:lang w:val="fr-BE" w:eastAsia="fr-FR"/>
        </w:rPr>
        <w:t>de l’ONU</w:t>
      </w:r>
      <w:r w:rsidR="00D278E3" w:rsidRPr="00350E36">
        <w:rPr>
          <w:rFonts w:cs="Arial"/>
          <w:lang w:val="fr-BE" w:eastAsia="fr-FR"/>
        </w:rPr>
        <w:t xml:space="preserve"> </w:t>
      </w:r>
      <w:r w:rsidR="000A54E4" w:rsidRPr="00350E36">
        <w:rPr>
          <w:rFonts w:cs="Arial"/>
          <w:lang w:val="fr-BE" w:eastAsia="fr-FR"/>
        </w:rPr>
        <w:t>(2019)</w:t>
      </w:r>
      <w:r>
        <w:rPr>
          <w:rFonts w:cs="Arial"/>
          <w:lang w:val="fr-BE" w:eastAsia="fr-FR"/>
        </w:rPr>
        <w:t xml:space="preserve">. En partie dans ce contexte, </w:t>
      </w:r>
      <w:r w:rsidR="000A54E4" w:rsidRPr="00350E36">
        <w:rPr>
          <w:rFonts w:cs="Arial"/>
          <w:lang w:val="fr-BE" w:eastAsia="fr-FR"/>
        </w:rPr>
        <w:t xml:space="preserve">l’engagement de la Défense </w:t>
      </w:r>
      <w:r w:rsidR="000A54E4" w:rsidRPr="00D278E3">
        <w:rPr>
          <w:rFonts w:cs="Arial"/>
          <w:lang w:val="fr-BE" w:eastAsia="fr-FR"/>
        </w:rPr>
        <w:t xml:space="preserve">dans l’opération </w:t>
      </w:r>
      <w:r w:rsidR="00D278E3" w:rsidRPr="00545615">
        <w:rPr>
          <w:rFonts w:cs="Arial"/>
          <w:b/>
          <w:lang w:val="fr-BE" w:eastAsia="fr-FR"/>
        </w:rPr>
        <w:t>MINUSMA</w:t>
      </w:r>
      <w:r w:rsidR="00D278E3" w:rsidRPr="00350E36">
        <w:rPr>
          <w:rFonts w:cs="Arial"/>
          <w:lang w:val="fr-BE" w:eastAsia="fr-FR"/>
        </w:rPr>
        <w:t xml:space="preserve"> </w:t>
      </w:r>
      <w:r w:rsidR="000A54E4" w:rsidRPr="00D278E3">
        <w:rPr>
          <w:rFonts w:cs="Arial"/>
          <w:lang w:val="fr-BE" w:eastAsia="fr-FR"/>
        </w:rPr>
        <w:t xml:space="preserve">de l’ONU </w:t>
      </w:r>
      <w:r w:rsidR="000A54E4" w:rsidRPr="00350E36">
        <w:rPr>
          <w:rFonts w:cs="Arial"/>
          <w:lang w:val="fr-BE" w:eastAsia="fr-FR"/>
        </w:rPr>
        <w:t xml:space="preserve">(Mission Multidimensionnelle Intégrée des Nations Unies pour la Stabilisation au Mali) sera sensiblement élargi. Un officier général belge occupe la fonction de Force Commander </w:t>
      </w:r>
      <w:r w:rsidR="00D278E3">
        <w:rPr>
          <w:rFonts w:cs="Arial"/>
          <w:lang w:val="fr-BE" w:eastAsia="fr-FR"/>
        </w:rPr>
        <w:t>au sein du quartier général et est soutenu par une équipe d’environ 20 militaires</w:t>
      </w:r>
      <w:r w:rsidR="000A54E4" w:rsidRPr="00350E36">
        <w:rPr>
          <w:rFonts w:cs="Arial"/>
          <w:lang w:val="fr-BE" w:eastAsia="fr-FR"/>
        </w:rPr>
        <w:t>.</w:t>
      </w:r>
      <w:r w:rsidR="000F1C74" w:rsidRPr="000F1C74">
        <w:rPr>
          <w:rFonts w:cs="Arial"/>
          <w:lang w:val="fr-BE" w:eastAsia="fr-FR"/>
        </w:rPr>
        <w:t xml:space="preserve"> En outre, la Défense sera représentée par</w:t>
      </w:r>
      <w:r w:rsidR="001A48C5">
        <w:rPr>
          <w:rFonts w:cs="Arial"/>
          <w:lang w:val="fr-BE" w:eastAsia="fr-FR"/>
        </w:rPr>
        <w:t xml:space="preserve"> </w:t>
      </w:r>
      <w:r w:rsidR="000F1C74" w:rsidRPr="000F1C74">
        <w:rPr>
          <w:rFonts w:cs="Arial"/>
          <w:lang w:val="fr-BE" w:eastAsia="fr-FR"/>
        </w:rPr>
        <w:t>:</w:t>
      </w:r>
    </w:p>
    <w:p w:rsidR="00A05B5C" w:rsidRPr="00A05B5C" w:rsidRDefault="000F1C74" w:rsidP="0088727F">
      <w:pPr>
        <w:pStyle w:val="ListParagraph"/>
        <w:numPr>
          <w:ilvl w:val="0"/>
          <w:numId w:val="36"/>
        </w:numPr>
        <w:tabs>
          <w:tab w:val="left" w:pos="2523"/>
        </w:tabs>
        <w:spacing w:before="120" w:after="200" w:line="276" w:lineRule="auto"/>
        <w:ind w:left="714" w:hanging="357"/>
        <w:jc w:val="both"/>
        <w:rPr>
          <w:rFonts w:ascii="Arial" w:hAnsi="Arial" w:cs="Arial"/>
          <w:sz w:val="20"/>
          <w:szCs w:val="20"/>
          <w:lang w:val="fr-BE" w:eastAsia="fr-FR"/>
        </w:rPr>
      </w:pPr>
      <w:r w:rsidRPr="00A05B5C">
        <w:rPr>
          <w:rFonts w:ascii="Arial" w:hAnsi="Arial" w:cs="Arial"/>
          <w:sz w:val="20"/>
          <w:szCs w:val="20"/>
          <w:lang w:val="fr-BE" w:eastAsia="fr-FR"/>
        </w:rPr>
        <w:t>Environ 5 militaires au centre de renseignement de la MINUSMA à Bamako</w:t>
      </w:r>
      <w:r w:rsidR="00A05B5C" w:rsidRPr="00A05B5C">
        <w:rPr>
          <w:rFonts w:ascii="Arial" w:hAnsi="Arial" w:cs="Arial"/>
          <w:sz w:val="20"/>
          <w:szCs w:val="20"/>
          <w:lang w:val="fr-BE" w:eastAsia="fr-FR"/>
        </w:rPr>
        <w:t> ;</w:t>
      </w:r>
    </w:p>
    <w:p w:rsidR="00A05B5C" w:rsidRPr="00A05B5C" w:rsidRDefault="000947EA" w:rsidP="0088727F">
      <w:pPr>
        <w:pStyle w:val="ListParagraph"/>
        <w:numPr>
          <w:ilvl w:val="0"/>
          <w:numId w:val="36"/>
        </w:numPr>
        <w:tabs>
          <w:tab w:val="left" w:pos="2523"/>
        </w:tabs>
        <w:spacing w:before="120" w:after="200" w:line="276" w:lineRule="auto"/>
        <w:ind w:left="714" w:hanging="357"/>
        <w:jc w:val="both"/>
        <w:rPr>
          <w:rFonts w:ascii="Arial" w:hAnsi="Arial" w:cs="Arial"/>
          <w:sz w:val="20"/>
          <w:szCs w:val="20"/>
          <w:lang w:val="fr-BE" w:eastAsia="fr-FR"/>
        </w:rPr>
      </w:pPr>
      <w:r w:rsidRPr="00A05B5C">
        <w:rPr>
          <w:rFonts w:ascii="Arial" w:hAnsi="Arial" w:cs="Arial"/>
          <w:sz w:val="20"/>
          <w:szCs w:val="20"/>
          <w:lang w:val="fr-BE" w:eastAsia="fr-FR"/>
        </w:rPr>
        <w:t>Environ 12 spécialistes (analystes et travailleurs de terrain) au sein de l’unité allemande de renseignement, surveillance et reconnaissance (ISR) à Gao</w:t>
      </w:r>
      <w:r w:rsidR="00A05B5C" w:rsidRPr="00A05B5C">
        <w:rPr>
          <w:rFonts w:ascii="Arial" w:hAnsi="Arial" w:cs="Arial"/>
          <w:sz w:val="20"/>
          <w:szCs w:val="20"/>
          <w:lang w:val="fr-BE" w:eastAsia="fr-FR"/>
        </w:rPr>
        <w:t> ;</w:t>
      </w:r>
    </w:p>
    <w:p w:rsidR="00A05B5C" w:rsidRPr="00A05B5C" w:rsidRDefault="000F1C74" w:rsidP="0088727F">
      <w:pPr>
        <w:pStyle w:val="ListParagraph"/>
        <w:numPr>
          <w:ilvl w:val="0"/>
          <w:numId w:val="36"/>
        </w:numPr>
        <w:tabs>
          <w:tab w:val="left" w:pos="2523"/>
        </w:tabs>
        <w:spacing w:before="120" w:after="200" w:line="276" w:lineRule="auto"/>
        <w:ind w:left="714" w:hanging="357"/>
        <w:jc w:val="both"/>
        <w:rPr>
          <w:rFonts w:ascii="Arial" w:hAnsi="Arial" w:cs="Arial"/>
          <w:sz w:val="20"/>
          <w:szCs w:val="20"/>
          <w:lang w:val="fr-BE" w:eastAsia="fr-FR"/>
        </w:rPr>
      </w:pPr>
      <w:r w:rsidRPr="00A05B5C">
        <w:rPr>
          <w:rFonts w:ascii="Arial" w:hAnsi="Arial" w:cs="Arial"/>
          <w:sz w:val="20"/>
          <w:szCs w:val="20"/>
          <w:lang w:val="fr-BE" w:eastAsia="fr-FR"/>
        </w:rPr>
        <w:t xml:space="preserve">Dès juillet 2018, environ 40 militaires faisant partie d’un peloton ISR au sein de </w:t>
      </w:r>
      <w:r w:rsidR="00415C10" w:rsidRPr="00A05B5C">
        <w:rPr>
          <w:rFonts w:ascii="Arial" w:hAnsi="Arial" w:cs="Arial"/>
          <w:sz w:val="20"/>
          <w:szCs w:val="20"/>
          <w:lang w:val="fr-BE" w:eastAsia="fr-FR"/>
        </w:rPr>
        <w:t xml:space="preserve">l’unité </w:t>
      </w:r>
      <w:r w:rsidRPr="00A05B5C">
        <w:rPr>
          <w:rFonts w:ascii="Arial" w:hAnsi="Arial" w:cs="Arial"/>
          <w:sz w:val="20"/>
          <w:szCs w:val="20"/>
          <w:lang w:val="fr-BE" w:eastAsia="fr-FR"/>
        </w:rPr>
        <w:t>allemande</w:t>
      </w:r>
      <w:r w:rsidR="00A05B5C" w:rsidRPr="00A05B5C">
        <w:rPr>
          <w:rFonts w:ascii="Arial" w:hAnsi="Arial" w:cs="Arial"/>
          <w:sz w:val="20"/>
          <w:szCs w:val="20"/>
          <w:lang w:val="fr-BE" w:eastAsia="fr-FR"/>
        </w:rPr>
        <w:t> ;</w:t>
      </w:r>
    </w:p>
    <w:p w:rsidR="00A05B5C" w:rsidRPr="00A05B5C" w:rsidRDefault="000947EA" w:rsidP="0088727F">
      <w:pPr>
        <w:pStyle w:val="ListParagraph"/>
        <w:numPr>
          <w:ilvl w:val="0"/>
          <w:numId w:val="36"/>
        </w:numPr>
        <w:tabs>
          <w:tab w:val="left" w:pos="2523"/>
        </w:tabs>
        <w:spacing w:before="120" w:after="200" w:line="276" w:lineRule="auto"/>
        <w:ind w:left="714" w:hanging="357"/>
        <w:jc w:val="both"/>
        <w:rPr>
          <w:rFonts w:ascii="Arial" w:hAnsi="Arial" w:cs="Arial"/>
          <w:sz w:val="20"/>
          <w:szCs w:val="20"/>
          <w:lang w:val="fr-BE" w:eastAsia="fr-FR"/>
        </w:rPr>
      </w:pPr>
      <w:r w:rsidRPr="00A05B5C">
        <w:rPr>
          <w:rFonts w:ascii="Arial" w:hAnsi="Arial" w:cs="Arial"/>
          <w:sz w:val="20"/>
          <w:szCs w:val="20"/>
          <w:lang w:val="fr-BE" w:eastAsia="fr-FR"/>
        </w:rPr>
        <w:t>Sous réserve d’une analyse de sécurité et en fonction de</w:t>
      </w:r>
      <w:r w:rsidR="007B50CD" w:rsidRPr="00A05B5C">
        <w:rPr>
          <w:rFonts w:ascii="Arial" w:hAnsi="Arial" w:cs="Arial"/>
          <w:sz w:val="20"/>
          <w:szCs w:val="20"/>
          <w:lang w:val="fr-BE" w:eastAsia="fr-FR"/>
        </w:rPr>
        <w:t xml:space="preserve">s capacités défensives du NH90, </w:t>
      </w:r>
      <w:r w:rsidR="000F1C74" w:rsidRPr="00A05B5C">
        <w:rPr>
          <w:rFonts w:ascii="Arial" w:hAnsi="Arial" w:cs="Arial"/>
          <w:sz w:val="20"/>
          <w:szCs w:val="20"/>
          <w:lang w:val="fr-BE" w:eastAsia="fr-FR"/>
        </w:rPr>
        <w:t>2 hélicoptères Cayman (NH90) et environ 50 militaires en appui d’une unité d’hélicoptères allemande à Gao. Ils disposeront d’une capacité d’évacuation et de transport médical et seront déployés pour une durée maximale de sept mois</w:t>
      </w:r>
      <w:r w:rsidR="00A05B5C" w:rsidRPr="00A05B5C">
        <w:rPr>
          <w:rFonts w:ascii="Arial" w:hAnsi="Arial" w:cs="Arial"/>
          <w:sz w:val="20"/>
          <w:szCs w:val="20"/>
          <w:lang w:val="fr-BE" w:eastAsia="fr-FR"/>
        </w:rPr>
        <w:t> ;</w:t>
      </w:r>
    </w:p>
    <w:p w:rsidR="00A05B5C" w:rsidRDefault="000F1C74" w:rsidP="0088727F">
      <w:pPr>
        <w:pStyle w:val="ListParagraph"/>
        <w:numPr>
          <w:ilvl w:val="0"/>
          <w:numId w:val="36"/>
        </w:numPr>
        <w:tabs>
          <w:tab w:val="left" w:pos="2523"/>
        </w:tabs>
        <w:spacing w:before="120" w:after="200" w:line="276" w:lineRule="auto"/>
        <w:ind w:left="714" w:hanging="357"/>
        <w:jc w:val="both"/>
        <w:rPr>
          <w:rFonts w:cs="Arial"/>
          <w:lang w:val="fr-BE" w:eastAsia="fr-FR"/>
        </w:rPr>
      </w:pPr>
      <w:r w:rsidRPr="00A05B5C">
        <w:rPr>
          <w:rFonts w:ascii="Arial" w:hAnsi="Arial" w:cs="Arial"/>
          <w:sz w:val="20"/>
          <w:szCs w:val="20"/>
          <w:lang w:val="fr-BE" w:eastAsia="fr-FR"/>
        </w:rPr>
        <w:t xml:space="preserve">1 C130 et environ 65 militaires à partir d’une base à Bamako, au départ pour une durée de 6 mois à partir de mai 2018, à </w:t>
      </w:r>
      <w:r w:rsidR="00D278E3">
        <w:rPr>
          <w:rFonts w:ascii="Arial" w:hAnsi="Arial" w:cs="Arial"/>
          <w:sz w:val="20"/>
          <w:szCs w:val="20"/>
          <w:lang w:val="fr-BE" w:eastAsia="fr-FR"/>
        </w:rPr>
        <w:t>étendre</w:t>
      </w:r>
      <w:r w:rsidRPr="00A05B5C">
        <w:rPr>
          <w:rFonts w:ascii="Arial" w:hAnsi="Arial" w:cs="Arial"/>
          <w:sz w:val="20"/>
          <w:szCs w:val="20"/>
          <w:lang w:val="fr-BE" w:eastAsia="fr-FR"/>
        </w:rPr>
        <w:t xml:space="preserve"> éventuellement à un an dans le cadre d’une collaboration avec le Portugal, le Danemark, la Norvège et la Suède</w:t>
      </w:r>
      <w:r w:rsidR="00A05B5C">
        <w:rPr>
          <w:rFonts w:cs="Arial"/>
          <w:lang w:val="fr-BE" w:eastAsia="fr-FR"/>
        </w:rPr>
        <w:t>.</w:t>
      </w:r>
    </w:p>
    <w:p w:rsidR="00A05B5C" w:rsidRDefault="007B50CD" w:rsidP="0088727F">
      <w:pPr>
        <w:spacing w:before="120"/>
        <w:jc w:val="both"/>
        <w:rPr>
          <w:rFonts w:cs="Arial"/>
          <w:lang w:val="fr-BE" w:eastAsia="fr-FR"/>
        </w:rPr>
      </w:pPr>
      <w:r w:rsidRPr="007B50CD">
        <w:rPr>
          <w:rFonts w:cs="Arial"/>
          <w:lang w:val="fr-BE" w:eastAsia="fr-FR"/>
        </w:rPr>
        <w:t xml:space="preserve">L'escalade du conflit au Mali a un effet déstabilisateur sur les pays voisins, tels que le Niger. Afin de développer et de soutenir davantage les capacités de lutte contre le terrorisme d'un certain nombre de pays de la région (notamment la Mauritanie, le Mali, le Niger et le Burkina Faso), la Défense </w:t>
      </w:r>
      <w:r w:rsidR="001B7527">
        <w:rPr>
          <w:rFonts w:cs="Arial"/>
          <w:lang w:val="fr-BE" w:eastAsia="fr-FR"/>
        </w:rPr>
        <w:t>prévoit</w:t>
      </w:r>
      <w:r>
        <w:rPr>
          <w:rFonts w:cs="Arial"/>
          <w:lang w:val="fr-BE" w:eastAsia="fr-FR"/>
        </w:rPr>
        <w:t> :</w:t>
      </w:r>
    </w:p>
    <w:p w:rsidR="00A05B5C" w:rsidRPr="00A05B5C" w:rsidRDefault="00D67AFE" w:rsidP="0088727F">
      <w:pPr>
        <w:pStyle w:val="ListParagraph"/>
        <w:numPr>
          <w:ilvl w:val="0"/>
          <w:numId w:val="37"/>
        </w:numPr>
        <w:spacing w:before="120" w:after="200" w:line="276" w:lineRule="auto"/>
        <w:jc w:val="both"/>
        <w:rPr>
          <w:rFonts w:ascii="Arial" w:hAnsi="Arial" w:cs="Arial"/>
          <w:sz w:val="20"/>
          <w:szCs w:val="20"/>
          <w:lang w:val="fr-BE"/>
        </w:rPr>
      </w:pPr>
      <w:r w:rsidRPr="00A05B5C">
        <w:rPr>
          <w:rFonts w:ascii="Arial" w:hAnsi="Arial" w:cs="Arial"/>
          <w:sz w:val="20"/>
          <w:szCs w:val="20"/>
          <w:lang w:val="fr-BE" w:eastAsia="fr-FR"/>
        </w:rPr>
        <w:t xml:space="preserve">à nouveau </w:t>
      </w:r>
      <w:r w:rsidR="00BC04CF" w:rsidRPr="00A05B5C">
        <w:rPr>
          <w:rFonts w:ascii="Arial" w:hAnsi="Arial" w:cs="Arial"/>
          <w:sz w:val="20"/>
          <w:szCs w:val="20"/>
          <w:lang w:val="fr-BE" w:eastAsia="fr-FR"/>
        </w:rPr>
        <w:t xml:space="preserve">une assistance militaire d’environ </w:t>
      </w:r>
      <w:r w:rsidR="00EF7C87" w:rsidRPr="00A05B5C">
        <w:rPr>
          <w:rFonts w:ascii="Arial" w:hAnsi="Arial" w:cs="Arial"/>
          <w:sz w:val="20"/>
          <w:szCs w:val="20"/>
          <w:lang w:val="fr-BE" w:eastAsia="fr-FR"/>
        </w:rPr>
        <w:t>6</w:t>
      </w:r>
      <w:r w:rsidR="00BC04CF" w:rsidRPr="00A05B5C">
        <w:rPr>
          <w:rFonts w:ascii="Arial" w:hAnsi="Arial" w:cs="Arial"/>
          <w:sz w:val="20"/>
          <w:szCs w:val="20"/>
          <w:lang w:val="fr-BE" w:eastAsia="fr-FR"/>
        </w:rPr>
        <w:t xml:space="preserve">0 militaires durant 5 semaines dans le cadre de la </w:t>
      </w:r>
      <w:r w:rsidR="00BC04CF" w:rsidRPr="00A05B5C">
        <w:rPr>
          <w:rFonts w:ascii="Arial" w:hAnsi="Arial" w:cs="Arial"/>
          <w:b/>
          <w:sz w:val="20"/>
          <w:szCs w:val="20"/>
          <w:lang w:val="fr-BE" w:eastAsia="fr-FR"/>
        </w:rPr>
        <w:t>mission FLINTLOCK</w:t>
      </w:r>
      <w:r w:rsidR="00F00610" w:rsidRPr="00A05B5C">
        <w:rPr>
          <w:rFonts w:ascii="Arial" w:hAnsi="Arial" w:cs="Arial"/>
          <w:b/>
          <w:sz w:val="20"/>
          <w:szCs w:val="20"/>
          <w:lang w:val="fr-BE" w:eastAsia="fr-FR"/>
        </w:rPr>
        <w:t>.</w:t>
      </w:r>
      <w:r w:rsidR="00BC04CF" w:rsidRPr="00A05B5C">
        <w:rPr>
          <w:rFonts w:ascii="Arial" w:hAnsi="Arial" w:cs="Arial"/>
          <w:sz w:val="20"/>
          <w:szCs w:val="20"/>
          <w:lang w:val="fr-BE" w:eastAsia="fr-FR"/>
        </w:rPr>
        <w:t xml:space="preserve"> </w:t>
      </w:r>
      <w:r w:rsidR="00B53584" w:rsidRPr="00A05B5C">
        <w:rPr>
          <w:rFonts w:ascii="Arial" w:hAnsi="Arial" w:cs="Arial"/>
          <w:sz w:val="20"/>
          <w:szCs w:val="20"/>
          <w:lang w:val="fr-BE"/>
        </w:rPr>
        <w:t xml:space="preserve">Elle se déroulera au Niger, sous l’égide d’USAFRICOM, en partenariat avec les Etats-Unis, la France, l’Allemagne, les Pays-Bas et le </w:t>
      </w:r>
      <w:r w:rsidR="00A05B5C">
        <w:rPr>
          <w:rFonts w:ascii="Arial" w:hAnsi="Arial" w:cs="Arial"/>
          <w:sz w:val="20"/>
          <w:szCs w:val="20"/>
          <w:lang w:val="fr-BE"/>
        </w:rPr>
        <w:t xml:space="preserve">Royaume-Uni </w:t>
      </w:r>
      <w:r w:rsidR="00B53584" w:rsidRPr="00A05B5C">
        <w:rPr>
          <w:rFonts w:ascii="Arial" w:hAnsi="Arial" w:cs="Arial"/>
          <w:sz w:val="20"/>
          <w:szCs w:val="20"/>
          <w:lang w:val="fr-BE"/>
        </w:rPr>
        <w:t>;</w:t>
      </w:r>
    </w:p>
    <w:p w:rsidR="007B50CD" w:rsidRPr="00A05B5C" w:rsidRDefault="007B50CD" w:rsidP="0088727F">
      <w:pPr>
        <w:pStyle w:val="ListParagraph"/>
        <w:numPr>
          <w:ilvl w:val="0"/>
          <w:numId w:val="37"/>
        </w:numPr>
        <w:spacing w:before="120" w:after="200" w:line="276" w:lineRule="auto"/>
        <w:jc w:val="both"/>
        <w:rPr>
          <w:rFonts w:ascii="Arial" w:hAnsi="Arial" w:cs="Arial"/>
          <w:sz w:val="20"/>
          <w:szCs w:val="20"/>
          <w:lang w:val="fr-BE"/>
        </w:rPr>
      </w:pPr>
      <w:r w:rsidRPr="00A05B5C">
        <w:rPr>
          <w:rFonts w:ascii="Arial" w:hAnsi="Arial" w:cs="Arial"/>
          <w:sz w:val="20"/>
          <w:szCs w:val="20"/>
          <w:lang w:val="fr-BE"/>
        </w:rPr>
        <w:t>fournir une assistance militaire sous la forme d’une formation complémentaire au profit d’une unité d’intervention des forces nigéri</w:t>
      </w:r>
      <w:r w:rsidR="001B7527">
        <w:rPr>
          <w:rFonts w:ascii="Arial" w:hAnsi="Arial" w:cs="Arial"/>
          <w:sz w:val="20"/>
          <w:szCs w:val="20"/>
          <w:lang w:val="fr-BE"/>
        </w:rPr>
        <w:t>ennes</w:t>
      </w:r>
      <w:r w:rsidRPr="00A05B5C">
        <w:rPr>
          <w:rFonts w:ascii="Arial" w:hAnsi="Arial" w:cs="Arial"/>
          <w:sz w:val="20"/>
          <w:szCs w:val="20"/>
          <w:lang w:val="fr-BE"/>
        </w:rPr>
        <w:t>. Cette assistance sera dans un premier temps fournie par environ 10 militaires pendant 15 semaines et ensuite par environ 25 militaires pendant à peu près 8 semaines.</w:t>
      </w:r>
    </w:p>
    <w:p w:rsidR="00782133" w:rsidRDefault="00782133" w:rsidP="0088727F">
      <w:pPr>
        <w:spacing w:before="120"/>
        <w:rPr>
          <w:rFonts w:cs="Arial"/>
          <w:lang w:val="fr-BE"/>
        </w:rPr>
      </w:pPr>
      <w:r w:rsidRPr="00782133">
        <w:rPr>
          <w:rFonts w:cs="Arial"/>
          <w:lang w:val="fr-BE"/>
        </w:rPr>
        <w:t xml:space="preserve">Dans le cadre des </w:t>
      </w:r>
      <w:r w:rsidRPr="00782133">
        <w:rPr>
          <w:rFonts w:cs="Arial"/>
          <w:b/>
          <w:lang w:val="fr-BE"/>
        </w:rPr>
        <w:t xml:space="preserve">ENVR </w:t>
      </w:r>
      <w:r w:rsidRPr="00782133">
        <w:rPr>
          <w:rFonts w:cs="Arial"/>
          <w:lang w:val="fr-BE"/>
        </w:rPr>
        <w:t xml:space="preserve">("Ecoles Nationales à Vocation Régionale”) de Mauritanie, du Burkina Faso, </w:t>
      </w:r>
      <w:r w:rsidR="001B7527">
        <w:rPr>
          <w:rFonts w:cs="Arial"/>
          <w:lang w:val="fr-BE"/>
        </w:rPr>
        <w:t xml:space="preserve">du </w:t>
      </w:r>
      <w:r w:rsidRPr="00782133">
        <w:rPr>
          <w:rFonts w:cs="Arial"/>
          <w:lang w:val="fr-BE"/>
        </w:rPr>
        <w:t xml:space="preserve">Niger et </w:t>
      </w:r>
      <w:r w:rsidR="001B7527">
        <w:rPr>
          <w:rFonts w:cs="Arial"/>
          <w:lang w:val="fr-BE"/>
        </w:rPr>
        <w:t xml:space="preserve">du </w:t>
      </w:r>
      <w:r w:rsidRPr="00782133">
        <w:rPr>
          <w:rFonts w:cs="Arial"/>
          <w:lang w:val="fr-BE"/>
        </w:rPr>
        <w:t xml:space="preserve">Mali, la Belgique, en étroite collaboration avec la France, </w:t>
      </w:r>
      <w:r w:rsidR="001B7527">
        <w:rPr>
          <w:rFonts w:cs="Arial"/>
          <w:lang w:val="fr-BE"/>
        </w:rPr>
        <w:t>déploiera</w:t>
      </w:r>
      <w:r w:rsidRPr="00782133">
        <w:rPr>
          <w:rFonts w:cs="Arial"/>
          <w:lang w:val="fr-BE"/>
        </w:rPr>
        <w:t xml:space="preserve"> </w:t>
      </w:r>
      <w:r w:rsidR="001B7527">
        <w:rPr>
          <w:rFonts w:cs="Arial"/>
          <w:lang w:val="fr-BE"/>
        </w:rPr>
        <w:t xml:space="preserve">environ </w:t>
      </w:r>
      <w:r w:rsidRPr="00782133">
        <w:rPr>
          <w:rFonts w:cs="Arial"/>
          <w:lang w:val="fr-BE"/>
        </w:rPr>
        <w:t xml:space="preserve">2 instructeurs </w:t>
      </w:r>
      <w:r w:rsidR="001B7527">
        <w:rPr>
          <w:rFonts w:cs="Arial"/>
          <w:lang w:val="fr-BE"/>
        </w:rPr>
        <w:t xml:space="preserve">durant </w:t>
      </w:r>
      <w:r w:rsidRPr="00782133">
        <w:rPr>
          <w:rFonts w:cs="Arial"/>
          <w:lang w:val="fr-BE"/>
        </w:rPr>
        <w:t>cinq périodes de chaque fois 2 mois. De cette façon la Défense contribue au développement des capacités militaires des pays concernés.</w:t>
      </w:r>
    </w:p>
    <w:p w:rsidR="001B7527" w:rsidRDefault="001B7527" w:rsidP="0088727F">
      <w:pPr>
        <w:spacing w:before="120"/>
        <w:rPr>
          <w:rFonts w:cs="Arial"/>
          <w:lang w:val="fr-BE"/>
        </w:rPr>
      </w:pPr>
    </w:p>
    <w:p w:rsidR="00250814" w:rsidRPr="0088727F" w:rsidRDefault="008E0AA5" w:rsidP="0083405C">
      <w:pPr>
        <w:rPr>
          <w:rFonts w:cs="Arial"/>
          <w:i/>
          <w:u w:val="single"/>
          <w:lang w:val="fr-BE"/>
        </w:rPr>
      </w:pPr>
      <w:r w:rsidRPr="0088727F">
        <w:rPr>
          <w:rFonts w:cs="Arial"/>
          <w:i/>
          <w:u w:val="single"/>
          <w:lang w:val="fr-BE"/>
        </w:rPr>
        <w:t>1.</w:t>
      </w:r>
      <w:r w:rsidR="00782133" w:rsidRPr="0088727F">
        <w:rPr>
          <w:rFonts w:cs="Arial"/>
          <w:i/>
          <w:u w:val="single"/>
          <w:lang w:val="fr-BE"/>
        </w:rPr>
        <w:t xml:space="preserve">4 </w:t>
      </w:r>
      <w:r w:rsidRPr="0088727F">
        <w:rPr>
          <w:rFonts w:cs="Arial"/>
          <w:i/>
          <w:u w:val="single"/>
          <w:lang w:val="fr-BE"/>
        </w:rPr>
        <w:t>Tunisie</w:t>
      </w:r>
      <w:r w:rsidR="0029484B" w:rsidRPr="0088727F">
        <w:rPr>
          <w:rFonts w:cs="Arial"/>
          <w:i/>
          <w:u w:val="single"/>
          <w:lang w:val="fr-BE"/>
        </w:rPr>
        <w:t xml:space="preserve"> et Afghanistan</w:t>
      </w:r>
    </w:p>
    <w:p w:rsidR="00782133" w:rsidRDefault="008E0AA5" w:rsidP="006241E6">
      <w:pPr>
        <w:rPr>
          <w:rFonts w:cs="Arial"/>
          <w:lang w:val="fr-BE" w:eastAsia="fr-FR"/>
        </w:rPr>
      </w:pPr>
      <w:r w:rsidRPr="008E0AA5">
        <w:rPr>
          <w:rFonts w:cs="Arial"/>
          <w:lang w:val="fr-BE" w:eastAsia="fr-FR"/>
        </w:rPr>
        <w:lastRenderedPageBreak/>
        <w:t>En Afrique du nord, la Tunisie est confrontée à une sérieuse menace terroriste interne qui pèse sur la sécurité régionale. Il est proposé de prolonger l’assistance à la Tunisie dans sa lutte contre le terrorisme, dans un cadre bilatéral. En étroite concertation avec la Tunisie, la Défense propose de fournir une assistance militaire sur le territoire du pays hôte</w:t>
      </w:r>
      <w:r w:rsidR="00782133">
        <w:rPr>
          <w:rFonts w:cs="Arial"/>
          <w:lang w:val="fr-BE" w:eastAsia="fr-FR"/>
        </w:rPr>
        <w:t xml:space="preserve"> sous la forme de </w:t>
      </w:r>
      <w:r w:rsidR="00782133" w:rsidRPr="00782133">
        <w:rPr>
          <w:rFonts w:cs="Arial"/>
          <w:lang w:val="fr-BE" w:eastAsia="fr-FR"/>
        </w:rPr>
        <w:t xml:space="preserve">diverses activités allant de la formation aux techniques antiterroristes </w:t>
      </w:r>
      <w:r w:rsidR="00782133">
        <w:rPr>
          <w:rFonts w:cs="Arial"/>
          <w:lang w:val="fr-BE" w:eastAsia="fr-FR"/>
        </w:rPr>
        <w:t>au coaching</w:t>
      </w:r>
      <w:r w:rsidR="00782133" w:rsidRPr="00782133">
        <w:rPr>
          <w:rFonts w:cs="Arial"/>
          <w:lang w:val="fr-BE" w:eastAsia="fr-FR"/>
        </w:rPr>
        <w:t xml:space="preserve"> des </w:t>
      </w:r>
      <w:r w:rsidR="00782133">
        <w:rPr>
          <w:rFonts w:cs="Arial"/>
          <w:lang w:val="fr-BE" w:eastAsia="fr-FR"/>
        </w:rPr>
        <w:t xml:space="preserve">maîtres-chiens </w:t>
      </w:r>
      <w:r w:rsidR="00782133" w:rsidRPr="00782133">
        <w:rPr>
          <w:rFonts w:cs="Arial"/>
          <w:lang w:val="fr-BE" w:eastAsia="fr-FR"/>
        </w:rPr>
        <w:t>ou même à l'approfondissement des techniques d'infanterie</w:t>
      </w:r>
      <w:r w:rsidR="00782133">
        <w:rPr>
          <w:rFonts w:cs="Arial"/>
          <w:lang w:val="fr-BE" w:eastAsia="fr-FR"/>
        </w:rPr>
        <w:t>.</w:t>
      </w:r>
    </w:p>
    <w:p w:rsidR="00A05B5C" w:rsidRDefault="00782133" w:rsidP="00782133">
      <w:pPr>
        <w:rPr>
          <w:lang w:val="fr-BE"/>
        </w:rPr>
      </w:pPr>
      <w:r w:rsidRPr="00782133">
        <w:rPr>
          <w:b/>
          <w:lang w:val="fr-BE"/>
        </w:rPr>
        <w:t>Resolute Support Mission</w:t>
      </w:r>
      <w:r w:rsidRPr="00782133">
        <w:rPr>
          <w:lang w:val="fr-BE"/>
        </w:rPr>
        <w:t xml:space="preserve"> (RSM) </w:t>
      </w:r>
      <w:r w:rsidR="001B7527">
        <w:rPr>
          <w:lang w:val="fr-BE"/>
        </w:rPr>
        <w:t xml:space="preserve">de l’OTAN en Afghanistan </w:t>
      </w:r>
      <w:r w:rsidRPr="00782133">
        <w:rPr>
          <w:lang w:val="fr-BE"/>
        </w:rPr>
        <w:t>est une opération d’entraînement, d’avis et d’accompagnement des troupes de sécurité afghanes au niveau régional, national et institutionnel. La Belgique poursuivra sa participation à l’opération RSM dans le courant de 2018, tant au quartier-général à Kaboul qu’à Masar-E-Sharif, en appui de nos partenaires allemands. Environ 90 militaires belges sont déployés dans cette opération, conformément aux besoins de l’OTAN :</w:t>
      </w:r>
      <w:r w:rsidR="00A05B5C">
        <w:rPr>
          <w:lang w:val="fr-BE"/>
        </w:rPr>
        <w:t xml:space="preserve"> </w:t>
      </w:r>
    </w:p>
    <w:p w:rsidR="00A05B5C" w:rsidRPr="00A05B5C" w:rsidRDefault="00782133" w:rsidP="00A05B5C">
      <w:pPr>
        <w:pStyle w:val="ListParagraph"/>
        <w:numPr>
          <w:ilvl w:val="0"/>
          <w:numId w:val="38"/>
        </w:numPr>
        <w:rPr>
          <w:rFonts w:ascii="Arial" w:hAnsi="Arial" w:cs="Arial"/>
          <w:sz w:val="20"/>
          <w:szCs w:val="20"/>
          <w:lang w:val="fr-BE"/>
        </w:rPr>
      </w:pPr>
      <w:r w:rsidRPr="00A05B5C">
        <w:rPr>
          <w:rFonts w:ascii="Arial" w:hAnsi="Arial" w:cs="Arial"/>
          <w:sz w:val="20"/>
          <w:szCs w:val="20"/>
          <w:lang w:val="fr-BE"/>
        </w:rPr>
        <w:t>Environ 8 militaires travaillent à Kaboul au sein du Quartier général de Resolute Support en tant que collaborateurs d’état-major pour des tâches de sécurité et de renseignement</w:t>
      </w:r>
      <w:r w:rsidR="00A05B5C" w:rsidRPr="00A05B5C">
        <w:rPr>
          <w:rFonts w:ascii="Arial" w:hAnsi="Arial" w:cs="Arial"/>
          <w:sz w:val="20"/>
          <w:szCs w:val="20"/>
          <w:lang w:val="fr-BE"/>
        </w:rPr>
        <w:t xml:space="preserve"> </w:t>
      </w:r>
      <w:r w:rsidRPr="00A05B5C">
        <w:rPr>
          <w:rFonts w:ascii="Arial" w:hAnsi="Arial" w:cs="Arial"/>
          <w:sz w:val="20"/>
          <w:szCs w:val="20"/>
          <w:lang w:val="fr-BE"/>
        </w:rPr>
        <w:t>;</w:t>
      </w:r>
    </w:p>
    <w:p w:rsidR="000E3124" w:rsidRPr="00A05B5C" w:rsidRDefault="00782133" w:rsidP="0088727F">
      <w:pPr>
        <w:pStyle w:val="ListParagraph"/>
        <w:numPr>
          <w:ilvl w:val="0"/>
          <w:numId w:val="38"/>
        </w:numPr>
        <w:spacing w:before="120" w:after="200" w:line="276" w:lineRule="auto"/>
        <w:rPr>
          <w:rFonts w:ascii="Arial" w:hAnsi="Arial" w:cs="Arial"/>
          <w:sz w:val="20"/>
          <w:szCs w:val="20"/>
          <w:lang w:val="fr-BE"/>
        </w:rPr>
      </w:pPr>
      <w:r w:rsidRPr="00A05B5C">
        <w:rPr>
          <w:rFonts w:ascii="Arial" w:hAnsi="Arial" w:cs="Arial"/>
          <w:sz w:val="20"/>
          <w:szCs w:val="20"/>
          <w:lang w:val="fr-BE"/>
        </w:rPr>
        <w:t>Au “Train, Advise, Assist Command – North” (TAAC-N) à Masar-E-Sharif, la Défense occupera environ 45 fonctions d’appui au côté de l’Allemagne en tant que “nation-cadre ”. En outre, à partir de la mi-mars 2018, la Belgique se chargera du contrôle de la zone de sécurité à proximité de la base. Dans ce cadre elle engagera environ 40 militaires. Au total la participation belge au TAAC-N se montera à 85 militaires environ</w:t>
      </w:r>
      <w:r w:rsidR="009E3D62" w:rsidRPr="00A05B5C">
        <w:rPr>
          <w:rFonts w:ascii="Arial" w:hAnsi="Arial" w:cs="Arial"/>
          <w:sz w:val="20"/>
          <w:szCs w:val="20"/>
          <w:lang w:val="fr-BE"/>
        </w:rPr>
        <w:t>.</w:t>
      </w:r>
    </w:p>
    <w:p w:rsidR="000E3124" w:rsidRPr="00F77C15" w:rsidRDefault="00F77C15" w:rsidP="0088727F">
      <w:pPr>
        <w:spacing w:before="120"/>
        <w:rPr>
          <w:rFonts w:cs="Arial"/>
          <w:b/>
          <w:u w:val="single"/>
          <w:lang w:val="fr-BE"/>
        </w:rPr>
      </w:pPr>
      <w:r w:rsidRPr="00F77C15">
        <w:rPr>
          <w:rFonts w:cs="Arial"/>
          <w:b/>
          <w:u w:val="single"/>
          <w:lang w:val="fr-BE"/>
        </w:rPr>
        <w:t>II.</w:t>
      </w:r>
      <w:r w:rsidR="00757F50">
        <w:rPr>
          <w:rFonts w:cs="Arial"/>
          <w:b/>
          <w:u w:val="single"/>
          <w:lang w:val="fr-BE"/>
        </w:rPr>
        <w:t xml:space="preserve"> </w:t>
      </w:r>
      <w:r w:rsidRPr="00F77C15">
        <w:rPr>
          <w:rFonts w:cs="Arial"/>
          <w:b/>
          <w:u w:val="single"/>
          <w:lang w:val="fr-BE"/>
        </w:rPr>
        <w:t>En Europe</w:t>
      </w:r>
    </w:p>
    <w:p w:rsidR="009E3D62" w:rsidRPr="009E3D62" w:rsidRDefault="009E3D62" w:rsidP="0088727F">
      <w:pPr>
        <w:tabs>
          <w:tab w:val="left" w:pos="2523"/>
        </w:tabs>
        <w:spacing w:before="120"/>
        <w:jc w:val="both"/>
        <w:rPr>
          <w:rFonts w:cs="Arial"/>
          <w:lang w:val="fr-BE" w:eastAsia="fr-FR"/>
        </w:rPr>
      </w:pPr>
      <w:r w:rsidRPr="009E3D62">
        <w:rPr>
          <w:rFonts w:cs="Arial"/>
          <w:lang w:val="fr-BE" w:eastAsia="fr-FR"/>
        </w:rPr>
        <w:t>En réaction à l’attitude de la Russie dans la crise ukrainienne, les pays membres de l’OTAN ont adopté le “</w:t>
      </w:r>
      <w:r w:rsidRPr="009E3D62">
        <w:rPr>
          <w:rFonts w:cs="Arial"/>
          <w:b/>
          <w:lang w:val="fr-BE" w:eastAsia="fr-FR"/>
        </w:rPr>
        <w:t>Readiness Action Plan</w:t>
      </w:r>
      <w:r w:rsidRPr="009E3D62">
        <w:rPr>
          <w:rFonts w:cs="Arial"/>
          <w:lang w:val="fr-BE" w:eastAsia="fr-FR"/>
        </w:rPr>
        <w:t xml:space="preserve">” </w:t>
      </w:r>
      <w:r w:rsidR="00F839C9">
        <w:rPr>
          <w:rFonts w:cs="Arial"/>
          <w:lang w:val="fr-BE" w:eastAsia="fr-FR"/>
        </w:rPr>
        <w:t>(</w:t>
      </w:r>
      <w:r w:rsidRPr="009E3D62">
        <w:rPr>
          <w:rFonts w:cs="Arial"/>
          <w:lang w:val="fr-BE" w:eastAsia="fr-FR"/>
        </w:rPr>
        <w:t>RAP) au Sommet du Pays de Galles</w:t>
      </w:r>
      <w:r>
        <w:rPr>
          <w:rFonts w:cs="Arial"/>
          <w:lang w:val="fr-BE" w:eastAsia="fr-FR"/>
        </w:rPr>
        <w:t xml:space="preserve"> (septembre 2014)</w:t>
      </w:r>
      <w:r w:rsidRPr="009E3D62">
        <w:rPr>
          <w:rFonts w:cs="Arial"/>
          <w:lang w:val="fr-BE" w:eastAsia="fr-FR"/>
        </w:rPr>
        <w:t>. Ce plan comprend des mesures visant à accroître la réactivité de l’Alliance vis-à-vis de toutes les menaces dans le nouvel environnement sécuritaire, en particulier aux frontières du territoire de l’Alliance. Renforcer sa présence, par rotations, dans l’est de l’Alliance, ainsi que son état de préparation opérationnelle imposent des efforts supplémentaires aux 28 alliés, y compris à la Belgique. En 2018, la Belgique peut contribuer aux mesures d’assurance (assurance measures – AM)  sous les formes suivantes :</w:t>
      </w:r>
    </w:p>
    <w:p w:rsidR="009E3D62" w:rsidRPr="009E3D62" w:rsidRDefault="009E3D62" w:rsidP="0088727F">
      <w:pPr>
        <w:pStyle w:val="ListParagraph"/>
        <w:numPr>
          <w:ilvl w:val="0"/>
          <w:numId w:val="35"/>
        </w:numPr>
        <w:tabs>
          <w:tab w:val="left" w:pos="2523"/>
        </w:tabs>
        <w:spacing w:before="120" w:after="200" w:line="276" w:lineRule="auto"/>
        <w:ind w:left="714" w:hanging="357"/>
        <w:jc w:val="both"/>
        <w:rPr>
          <w:rFonts w:ascii="Arial" w:hAnsi="Arial" w:cs="Arial"/>
          <w:sz w:val="20"/>
          <w:szCs w:val="20"/>
          <w:lang w:val="fr-BE" w:eastAsia="fr-FR"/>
        </w:rPr>
      </w:pPr>
      <w:r w:rsidRPr="009E3D62">
        <w:rPr>
          <w:rFonts w:ascii="Arial" w:hAnsi="Arial" w:cs="Arial"/>
          <w:sz w:val="20"/>
          <w:szCs w:val="20"/>
          <w:lang w:val="fr-BE" w:eastAsia="fr-FR"/>
        </w:rPr>
        <w:t>La détection et la destruction de mines en Mer baltique, ancienne région de conflit européenne, au moyen d’un chasseur de mines pendant 1 période (d’environ 3 semaines) avec environ 45 personnes. En outre, dans ce cadre, la Défense engagera le Godetia pendant 3 semaines en tant que navire de commandement et de soutien pour le Standing NATO Mine Counter Measures Group 1, avec un équipage d’environ 90 militaires</w:t>
      </w:r>
      <w:r w:rsidR="00A05B5C">
        <w:rPr>
          <w:rFonts w:ascii="Arial" w:hAnsi="Arial" w:cs="Arial"/>
          <w:sz w:val="20"/>
          <w:szCs w:val="20"/>
          <w:lang w:val="fr-BE" w:eastAsia="fr-FR"/>
        </w:rPr>
        <w:t xml:space="preserve"> </w:t>
      </w:r>
      <w:r w:rsidRPr="009E3D62">
        <w:rPr>
          <w:rFonts w:ascii="Arial" w:hAnsi="Arial" w:cs="Arial"/>
          <w:sz w:val="20"/>
          <w:szCs w:val="20"/>
          <w:lang w:val="fr-BE" w:eastAsia="fr-FR"/>
        </w:rPr>
        <w:t xml:space="preserve">; </w:t>
      </w:r>
    </w:p>
    <w:p w:rsidR="00B96933" w:rsidRPr="009E3D62" w:rsidRDefault="009E3D62" w:rsidP="0088727F">
      <w:pPr>
        <w:pStyle w:val="ListParagraph"/>
        <w:numPr>
          <w:ilvl w:val="0"/>
          <w:numId w:val="35"/>
        </w:numPr>
        <w:tabs>
          <w:tab w:val="left" w:pos="2523"/>
        </w:tabs>
        <w:spacing w:before="120" w:after="200" w:line="276" w:lineRule="auto"/>
        <w:ind w:left="714" w:hanging="357"/>
        <w:jc w:val="both"/>
        <w:rPr>
          <w:rFonts w:cs="Arial"/>
          <w:lang w:val="fr-BE" w:eastAsia="fr-FR"/>
        </w:rPr>
      </w:pPr>
      <w:r w:rsidRPr="009E3D62">
        <w:rPr>
          <w:rFonts w:ascii="Arial" w:hAnsi="Arial" w:cs="Arial"/>
          <w:sz w:val="20"/>
          <w:szCs w:val="20"/>
          <w:lang w:val="fr-BE" w:eastAsia="fr-FR"/>
        </w:rPr>
        <w:t>Le renforcement de la police aérienne (Baltic Air Policing) dans l’espace aérien septentrional à partir du début septembre pendant 4 mois</w:t>
      </w:r>
      <w:r w:rsidR="00F839C9">
        <w:rPr>
          <w:rFonts w:ascii="Arial" w:hAnsi="Arial" w:cs="Arial"/>
          <w:sz w:val="20"/>
          <w:szCs w:val="20"/>
          <w:lang w:val="fr-BE" w:eastAsia="fr-FR"/>
        </w:rPr>
        <w:t xml:space="preserve"> avec </w:t>
      </w:r>
      <w:r w:rsidRPr="009E3D62">
        <w:rPr>
          <w:rFonts w:ascii="Arial" w:hAnsi="Arial" w:cs="Arial"/>
          <w:sz w:val="20"/>
          <w:szCs w:val="20"/>
          <w:lang w:val="fr-BE" w:eastAsia="fr-FR"/>
        </w:rPr>
        <w:t xml:space="preserve">4 F-16 et environ 50 militaires à partir d’une base </w:t>
      </w:r>
      <w:r w:rsidR="00F839C9">
        <w:rPr>
          <w:rFonts w:ascii="Arial" w:hAnsi="Arial" w:cs="Arial"/>
          <w:sz w:val="20"/>
          <w:szCs w:val="20"/>
          <w:lang w:val="fr-BE" w:eastAsia="fr-FR"/>
        </w:rPr>
        <w:t>en</w:t>
      </w:r>
      <w:r w:rsidRPr="009E3D62">
        <w:rPr>
          <w:rFonts w:ascii="Arial" w:hAnsi="Arial" w:cs="Arial"/>
          <w:sz w:val="20"/>
          <w:szCs w:val="20"/>
          <w:lang w:val="fr-BE" w:eastAsia="fr-FR"/>
        </w:rPr>
        <w:t xml:space="preserve"> Lituanie.</w:t>
      </w:r>
    </w:p>
    <w:p w:rsidR="0018617C" w:rsidRDefault="009E3D62" w:rsidP="0088727F">
      <w:pPr>
        <w:spacing w:before="120"/>
        <w:jc w:val="both"/>
        <w:rPr>
          <w:rFonts w:cs="Arial"/>
          <w:lang w:val="fr-BE" w:eastAsia="fr-FR"/>
        </w:rPr>
      </w:pPr>
      <w:r w:rsidRPr="009E3D62">
        <w:rPr>
          <w:rFonts w:cs="Arial"/>
          <w:lang w:val="fr-BE" w:eastAsia="fr-FR"/>
        </w:rPr>
        <w:t xml:space="preserve">Au cours de son sommet de Varsovie (juillet </w:t>
      </w:r>
      <w:r w:rsidR="00DE1545">
        <w:rPr>
          <w:rFonts w:cs="Arial"/>
          <w:lang w:val="fr-BE" w:eastAsia="fr-FR"/>
        </w:rPr>
        <w:t>20</w:t>
      </w:r>
      <w:r w:rsidRPr="009E3D62">
        <w:rPr>
          <w:rFonts w:cs="Arial"/>
          <w:lang w:val="fr-BE" w:eastAsia="fr-FR"/>
        </w:rPr>
        <w:t>16), l’OTAN a donné le feu vert au concept de “</w:t>
      </w:r>
      <w:r w:rsidRPr="009E3D62">
        <w:rPr>
          <w:rFonts w:cs="Arial"/>
          <w:b/>
          <w:lang w:val="fr-BE" w:eastAsia="fr-FR"/>
        </w:rPr>
        <w:t>enhanced Forward Presence</w:t>
      </w:r>
      <w:r w:rsidRPr="009E3D62">
        <w:rPr>
          <w:rFonts w:cs="Arial"/>
          <w:lang w:val="fr-BE" w:eastAsia="fr-FR"/>
        </w:rPr>
        <w:t>”</w:t>
      </w:r>
      <w:r w:rsidR="00F839C9">
        <w:rPr>
          <w:rFonts w:cs="Arial"/>
          <w:lang w:val="fr-BE" w:eastAsia="fr-FR"/>
        </w:rPr>
        <w:t xml:space="preserve"> (eFP)</w:t>
      </w:r>
      <w:r w:rsidRPr="009E3D62">
        <w:rPr>
          <w:rFonts w:cs="Arial"/>
          <w:lang w:val="fr-BE" w:eastAsia="fr-FR"/>
        </w:rPr>
        <w:t>. Cette présence renforcée implique la mise sur pied de 4 Battle Groups multinationa</w:t>
      </w:r>
      <w:r w:rsidR="00F839C9">
        <w:rPr>
          <w:rFonts w:cs="Arial"/>
          <w:lang w:val="fr-BE" w:eastAsia="fr-FR"/>
        </w:rPr>
        <w:t>ux</w:t>
      </w:r>
      <w:r w:rsidRPr="009E3D62">
        <w:rPr>
          <w:rFonts w:cs="Arial"/>
          <w:lang w:val="fr-BE" w:eastAsia="fr-FR"/>
        </w:rPr>
        <w:t xml:space="preserve">, dans le but de renforcer sa posture de dissuasion (deterrence) et de défense collective (reassurance) dans les Etats baltes et en Pologne. </w:t>
      </w:r>
      <w:r w:rsidR="00F839C9">
        <w:rPr>
          <w:rFonts w:cs="Arial"/>
          <w:lang w:val="fr-BE" w:eastAsia="fr-FR"/>
        </w:rPr>
        <w:t>D</w:t>
      </w:r>
      <w:r w:rsidR="00F839C9" w:rsidRPr="009E3D62">
        <w:rPr>
          <w:rFonts w:cs="Arial"/>
          <w:lang w:val="fr-BE" w:eastAsia="fr-FR"/>
        </w:rPr>
        <w:t>e septembre à fin 2018</w:t>
      </w:r>
      <w:r w:rsidR="00F839C9">
        <w:rPr>
          <w:rFonts w:cs="Arial"/>
          <w:lang w:val="fr-BE" w:eastAsia="fr-FR"/>
        </w:rPr>
        <w:t>, l</w:t>
      </w:r>
      <w:r w:rsidRPr="009E3D62">
        <w:rPr>
          <w:rFonts w:cs="Arial"/>
          <w:lang w:val="fr-BE" w:eastAsia="fr-FR"/>
        </w:rPr>
        <w:t xml:space="preserve">a Belgique fournira une compagnie de manœuvre d’environ 230 militaires dans le cadre du Battle Group allemand déployé en Lituanie et ceci en collaboration avec le Luxembourg. Par ailleurs, l’état-major du Battle Group sera renforcé d’un spécialiste en communication stratégique pendant toute l’année 2018. </w:t>
      </w:r>
    </w:p>
    <w:p w:rsidR="009E3D62" w:rsidRDefault="009E3D62" w:rsidP="0088727F">
      <w:pPr>
        <w:spacing w:before="120"/>
        <w:jc w:val="both"/>
        <w:rPr>
          <w:rFonts w:cs="Arial"/>
          <w:lang w:val="fr-BE" w:eastAsia="fr-FR"/>
        </w:rPr>
      </w:pPr>
      <w:r w:rsidRPr="009E3D62">
        <w:rPr>
          <w:rFonts w:cs="Arial"/>
          <w:lang w:val="fr-BE" w:eastAsia="fr-FR"/>
        </w:rPr>
        <w:t>Enfin, la Défense déploiera régulièrement (4 fois) une équipe d’environ 5 militaires (pendant une période de 6 semaines) pour appuyer l’unité dans ce domaine.</w:t>
      </w:r>
    </w:p>
    <w:p w:rsidR="000E3124" w:rsidRDefault="00F3285F" w:rsidP="0088727F">
      <w:pPr>
        <w:spacing w:before="120"/>
        <w:jc w:val="both"/>
        <w:rPr>
          <w:rFonts w:cs="Arial"/>
          <w:lang w:val="fr-BE"/>
        </w:rPr>
      </w:pPr>
      <w:r w:rsidRPr="00F3285F">
        <w:rPr>
          <w:rFonts w:cs="Arial"/>
          <w:lang w:val="fr-BE" w:eastAsia="fr-FR"/>
        </w:rPr>
        <w:lastRenderedPageBreak/>
        <w:t xml:space="preserve">Dans le cadre de l’opération </w:t>
      </w:r>
      <w:r w:rsidRPr="00F3285F">
        <w:rPr>
          <w:rFonts w:cs="Arial"/>
          <w:b/>
          <w:lang w:val="fr-BE" w:eastAsia="fr-FR"/>
        </w:rPr>
        <w:t xml:space="preserve">Sea Guardian </w:t>
      </w:r>
      <w:r w:rsidRPr="00F3285F">
        <w:rPr>
          <w:rFonts w:cs="Arial"/>
          <w:lang w:val="fr-BE" w:eastAsia="fr-FR"/>
        </w:rPr>
        <w:t>de l’OTAN</w:t>
      </w:r>
      <w:r w:rsidR="009E3D62">
        <w:rPr>
          <w:rFonts w:cs="Arial"/>
          <w:lang w:val="fr-BE" w:eastAsia="fr-FR"/>
        </w:rPr>
        <w:t xml:space="preserve">, </w:t>
      </w:r>
      <w:r w:rsidRPr="00F3285F">
        <w:rPr>
          <w:rFonts w:cs="Arial"/>
          <w:lang w:val="fr-BE" w:eastAsia="fr-FR"/>
        </w:rPr>
        <w:t>une frégate belge avec un hélicoptère embarqué, sera engagée pendant trois semaines environ avec un équipage de quelque 175 militaires. Cette opération contribue à la lutte contre la traite d</w:t>
      </w:r>
      <w:r w:rsidR="00F839C9">
        <w:rPr>
          <w:rFonts w:cs="Arial"/>
          <w:lang w:val="fr-BE" w:eastAsia="fr-FR"/>
        </w:rPr>
        <w:t xml:space="preserve">es </w:t>
      </w:r>
      <w:r w:rsidRPr="00F3285F">
        <w:rPr>
          <w:rFonts w:cs="Arial"/>
          <w:lang w:val="fr-BE" w:eastAsia="fr-FR"/>
        </w:rPr>
        <w:t>êtres humains, le trafic d’armes illégales et la lutte de l’OTAN contre le terrorisme en Méditerranée</w:t>
      </w:r>
      <w:r w:rsidR="0068206B">
        <w:rPr>
          <w:rFonts w:cs="Arial"/>
          <w:lang w:val="fr-BE" w:eastAsia="fr-FR"/>
        </w:rPr>
        <w:t xml:space="preserve">. En outre, la Belgique cherchera à maximiser l’efficacité de sa contribution en développant des synergies entre différents niveaux (“associated support”) dans le cadre </w:t>
      </w:r>
      <w:r w:rsidR="00633397">
        <w:rPr>
          <w:rFonts w:cs="Arial"/>
          <w:lang w:val="fr-BE" w:eastAsia="fr-FR"/>
        </w:rPr>
        <w:t xml:space="preserve">de </w:t>
      </w:r>
      <w:r w:rsidR="0068206B">
        <w:rPr>
          <w:rFonts w:cs="Arial"/>
          <w:lang w:val="fr-BE" w:eastAsia="fr-FR"/>
        </w:rPr>
        <w:t>l’image maritime. Pour cette même opération, la Belgique envisage d’appuyer les Pays-Bas, en engageant un bat</w:t>
      </w:r>
      <w:r w:rsidR="00633397">
        <w:rPr>
          <w:rFonts w:cs="Arial"/>
          <w:lang w:val="fr-BE" w:eastAsia="fr-FR"/>
        </w:rPr>
        <w:t xml:space="preserve">eau d’intervention rapide avec </w:t>
      </w:r>
      <w:r w:rsidR="0068206B">
        <w:rPr>
          <w:rFonts w:cs="Arial"/>
          <w:lang w:val="fr-BE" w:eastAsia="fr-FR"/>
        </w:rPr>
        <w:t>6 militaires environ pendant 3 semaines à bord d’un navire amphibie néerlandais</w:t>
      </w:r>
    </w:p>
    <w:p w:rsidR="00DA4A29" w:rsidRDefault="00D97C52" w:rsidP="0088727F">
      <w:pPr>
        <w:spacing w:before="120"/>
        <w:rPr>
          <w:rFonts w:cs="Arial"/>
          <w:lang w:val="fr-BE" w:eastAsia="fr-FR"/>
        </w:rPr>
      </w:pPr>
      <w:r w:rsidRPr="00D97C52">
        <w:rPr>
          <w:rFonts w:cs="Arial"/>
          <w:lang w:val="fr-BE" w:eastAsia="fr-FR"/>
        </w:rPr>
        <w:t xml:space="preserve">L’engagement de personnel d’état-major au sein du quartier général de </w:t>
      </w:r>
      <w:r w:rsidR="00633397">
        <w:rPr>
          <w:rFonts w:cs="Arial"/>
          <w:lang w:val="fr-BE" w:eastAsia="fr-FR"/>
        </w:rPr>
        <w:t xml:space="preserve">la </w:t>
      </w:r>
      <w:r w:rsidRPr="00D97C52">
        <w:rPr>
          <w:rFonts w:cs="Arial"/>
          <w:lang w:val="fr-BE" w:eastAsia="fr-FR"/>
        </w:rPr>
        <w:t xml:space="preserve">force (1 militaire) et du quartier général </w:t>
      </w:r>
      <w:r w:rsidR="00633397">
        <w:rPr>
          <w:rFonts w:cs="Arial"/>
          <w:lang w:val="fr-BE" w:eastAsia="fr-FR"/>
        </w:rPr>
        <w:t>opérationnel</w:t>
      </w:r>
      <w:r w:rsidRPr="00D97C52">
        <w:rPr>
          <w:rFonts w:cs="Arial"/>
          <w:lang w:val="fr-BE" w:eastAsia="fr-FR"/>
        </w:rPr>
        <w:t xml:space="preserve"> (2 militaires) </w:t>
      </w:r>
      <w:r w:rsidRPr="00A05B5C">
        <w:rPr>
          <w:rFonts w:cs="Arial"/>
          <w:lang w:val="fr-BE" w:eastAsia="fr-FR"/>
        </w:rPr>
        <w:t>d’EUNAVFOR MED</w:t>
      </w:r>
      <w:r w:rsidRPr="00D97C52">
        <w:rPr>
          <w:rFonts w:cs="Arial"/>
          <w:b/>
          <w:lang w:val="fr-BE" w:eastAsia="fr-FR"/>
        </w:rPr>
        <w:t xml:space="preserve"> SOPHIA</w:t>
      </w:r>
      <w:r w:rsidRPr="00D97C52">
        <w:rPr>
          <w:rFonts w:cs="Arial"/>
          <w:lang w:val="fr-BE" w:eastAsia="fr-FR"/>
        </w:rPr>
        <w:t>, l’opération de l’Union européenne, sera prolongé pour une année entière</w:t>
      </w:r>
      <w:r w:rsidR="009E3D62">
        <w:rPr>
          <w:rFonts w:cs="Arial"/>
          <w:lang w:val="fr-BE" w:eastAsia="fr-FR"/>
        </w:rPr>
        <w:t xml:space="preserve">. </w:t>
      </w:r>
      <w:r w:rsidR="00633397">
        <w:rPr>
          <w:rFonts w:cs="Arial"/>
          <w:lang w:val="fr-BE" w:eastAsia="fr-FR"/>
        </w:rPr>
        <w:t>L</w:t>
      </w:r>
      <w:r w:rsidR="009E3D62" w:rsidRPr="009E3D62">
        <w:rPr>
          <w:rFonts w:cs="Arial"/>
          <w:lang w:val="fr-BE" w:eastAsia="fr-FR"/>
        </w:rPr>
        <w:t xml:space="preserve">a Belgique participera à l’entraînement et </w:t>
      </w:r>
      <w:r w:rsidR="00633397">
        <w:rPr>
          <w:rFonts w:cs="Arial"/>
          <w:lang w:val="fr-BE" w:eastAsia="fr-FR"/>
        </w:rPr>
        <w:t>au</w:t>
      </w:r>
      <w:r w:rsidR="009E3D62" w:rsidRPr="009E3D62">
        <w:rPr>
          <w:rFonts w:cs="Arial"/>
          <w:lang w:val="fr-BE" w:eastAsia="fr-FR"/>
        </w:rPr>
        <w:t xml:space="preserve"> « monitoring » de la garde côtière libyenne dans le cadre plus large de cette opération avec environ 4 personnes pendant 3 semaines.</w:t>
      </w:r>
    </w:p>
    <w:p w:rsidR="009E3D62" w:rsidRDefault="009E3D62" w:rsidP="0088727F">
      <w:pPr>
        <w:spacing w:before="120"/>
        <w:rPr>
          <w:rFonts w:cs="Arial"/>
          <w:lang w:val="fr-BE"/>
        </w:rPr>
      </w:pPr>
      <w:r>
        <w:rPr>
          <w:rFonts w:cs="Arial"/>
          <w:lang w:val="fr-BE"/>
        </w:rPr>
        <w:t>L</w:t>
      </w:r>
      <w:r w:rsidRPr="009E3D62">
        <w:rPr>
          <w:rFonts w:cs="Arial"/>
          <w:lang w:val="fr-BE"/>
        </w:rPr>
        <w:t xml:space="preserve">a Belgique va </w:t>
      </w:r>
      <w:r>
        <w:rPr>
          <w:rFonts w:cs="Arial"/>
          <w:lang w:val="fr-BE"/>
        </w:rPr>
        <w:t xml:space="preserve">à nouveau </w:t>
      </w:r>
      <w:r w:rsidRPr="009E3D62">
        <w:rPr>
          <w:rFonts w:cs="Arial"/>
          <w:lang w:val="fr-BE"/>
        </w:rPr>
        <w:t>contribuer à la détection et la destruction de mines historiques en Mer du nord. Pour ce faire elle engagera un bâtiment de lutte contre les mines pendant 3 périodes (au total environ 9 semaines) avec quelque 45 personnes</w:t>
      </w:r>
      <w:r>
        <w:rPr>
          <w:rFonts w:cs="Arial"/>
          <w:lang w:val="fr-BE"/>
        </w:rPr>
        <w:t xml:space="preserve">. </w:t>
      </w:r>
      <w:r w:rsidRPr="009E3D62">
        <w:rPr>
          <w:rFonts w:cs="Arial"/>
          <w:lang w:val="fr-BE"/>
        </w:rPr>
        <w:t xml:space="preserve">C’est également dans ce cadre que la Défense engagera le Godetia pendant 3 semaines en tant que navire de commandement et de soutien pour le </w:t>
      </w:r>
      <w:r w:rsidR="00633397">
        <w:rPr>
          <w:rFonts w:cs="Arial"/>
          <w:lang w:val="fr-BE"/>
        </w:rPr>
        <w:t>« </w:t>
      </w:r>
      <w:r w:rsidRPr="009E3D62">
        <w:rPr>
          <w:rFonts w:cs="Arial"/>
          <w:lang w:val="fr-BE"/>
        </w:rPr>
        <w:t>Standing NATO Mine Counter Measures Group 1</w:t>
      </w:r>
      <w:r w:rsidR="00633397">
        <w:rPr>
          <w:rFonts w:cs="Arial"/>
          <w:lang w:val="fr-BE"/>
        </w:rPr>
        <w:t> »</w:t>
      </w:r>
      <w:r w:rsidRPr="009E3D62">
        <w:rPr>
          <w:rFonts w:cs="Arial"/>
          <w:lang w:val="fr-BE"/>
        </w:rPr>
        <w:t>, avec un équipage d’environ 90 militaires.</w:t>
      </w:r>
    </w:p>
    <w:p w:rsidR="000A63CC" w:rsidRPr="000A63CC" w:rsidRDefault="000A63CC" w:rsidP="000A63CC">
      <w:pPr>
        <w:rPr>
          <w:rFonts w:cs="Arial"/>
          <w:b/>
          <w:u w:val="single"/>
          <w:lang w:val="fr-BE"/>
        </w:rPr>
      </w:pPr>
      <w:r>
        <w:rPr>
          <w:rFonts w:cs="Arial"/>
          <w:b/>
          <w:u w:val="single"/>
          <w:lang w:val="fr-BE"/>
        </w:rPr>
        <w:t>III.</w:t>
      </w:r>
      <w:r w:rsidR="00687888">
        <w:rPr>
          <w:rFonts w:cs="Arial"/>
          <w:b/>
          <w:u w:val="single"/>
          <w:lang w:val="fr-BE"/>
        </w:rPr>
        <w:t xml:space="preserve"> </w:t>
      </w:r>
      <w:r w:rsidRPr="000A63CC">
        <w:rPr>
          <w:rFonts w:cs="Arial"/>
          <w:b/>
          <w:u w:val="single"/>
          <w:lang w:val="fr-BE"/>
        </w:rPr>
        <w:t>Autres opérations</w:t>
      </w:r>
    </w:p>
    <w:p w:rsidR="00EE322F" w:rsidRDefault="00EE322F" w:rsidP="006241E6">
      <w:pPr>
        <w:rPr>
          <w:rFonts w:cs="Arial"/>
          <w:lang w:val="fr-BE"/>
        </w:rPr>
      </w:pPr>
      <w:r>
        <w:rPr>
          <w:rFonts w:cs="Arial"/>
          <w:lang w:val="fr-BE"/>
        </w:rPr>
        <w:t xml:space="preserve">En Afrique centrale, </w:t>
      </w:r>
      <w:r>
        <w:rPr>
          <w:rFonts w:cs="Arial"/>
          <w:lang w:val="fr-BE" w:eastAsia="fr-FR"/>
        </w:rPr>
        <w:t>l</w:t>
      </w:r>
      <w:r w:rsidRPr="00EE322F">
        <w:rPr>
          <w:rFonts w:cs="Arial"/>
          <w:lang w:val="fr-BE" w:eastAsia="fr-FR"/>
        </w:rPr>
        <w:t xml:space="preserve">a Belgique prévoit une campagne </w:t>
      </w:r>
      <w:r w:rsidR="00633397">
        <w:rPr>
          <w:rFonts w:cs="Arial"/>
          <w:lang w:val="fr-BE" w:eastAsia="fr-FR"/>
        </w:rPr>
        <w:t>« </w:t>
      </w:r>
      <w:r w:rsidR="00687888" w:rsidRPr="009E3D62">
        <w:rPr>
          <w:rFonts w:cs="Arial"/>
          <w:lang w:val="fr-BE" w:eastAsia="fr-FR"/>
        </w:rPr>
        <w:t>Maritime Capacity Building</w:t>
      </w:r>
      <w:r w:rsidR="00633397">
        <w:rPr>
          <w:rFonts w:cs="Arial"/>
          <w:lang w:val="fr-BE" w:eastAsia="fr-FR"/>
        </w:rPr>
        <w:t> »</w:t>
      </w:r>
      <w:r w:rsidR="00687888" w:rsidRPr="00EE322F">
        <w:rPr>
          <w:rFonts w:cs="Arial"/>
          <w:lang w:val="fr-BE" w:eastAsia="fr-FR"/>
        </w:rPr>
        <w:t xml:space="preserve"> </w:t>
      </w:r>
      <w:r w:rsidR="00687888">
        <w:rPr>
          <w:rFonts w:cs="Arial"/>
          <w:lang w:val="fr-BE" w:eastAsia="fr-FR"/>
        </w:rPr>
        <w:t>(</w:t>
      </w:r>
      <w:r w:rsidRPr="00EE322F">
        <w:rPr>
          <w:rFonts w:cs="Arial"/>
          <w:lang w:val="fr-BE" w:eastAsia="fr-FR"/>
        </w:rPr>
        <w:t>MCB</w:t>
      </w:r>
      <w:r w:rsidR="00687888">
        <w:rPr>
          <w:rFonts w:cs="Arial"/>
          <w:lang w:val="fr-BE" w:eastAsia="fr-FR"/>
        </w:rPr>
        <w:t>)</w:t>
      </w:r>
      <w:r w:rsidRPr="00EE322F">
        <w:rPr>
          <w:rFonts w:cs="Arial"/>
          <w:lang w:val="fr-BE" w:eastAsia="fr-FR"/>
        </w:rPr>
        <w:t xml:space="preserve"> avec participation au programme de collaborations </w:t>
      </w:r>
      <w:r w:rsidR="00633397">
        <w:rPr>
          <w:rFonts w:cs="Arial"/>
          <w:lang w:val="fr-BE" w:eastAsia="fr-FR"/>
        </w:rPr>
        <w:t xml:space="preserve">des </w:t>
      </w:r>
      <w:r w:rsidRPr="00EE322F">
        <w:rPr>
          <w:rFonts w:cs="Arial"/>
          <w:lang w:val="fr-BE" w:eastAsia="fr-FR"/>
        </w:rPr>
        <w:t>USA pour améliorer la sécurité maritime APS (African Partnership Station)</w:t>
      </w:r>
      <w:r w:rsidR="00633397">
        <w:rPr>
          <w:rFonts w:cs="Arial"/>
          <w:lang w:val="fr-BE" w:eastAsia="fr-FR"/>
        </w:rPr>
        <w:t xml:space="preserve"> avec</w:t>
      </w:r>
      <w:r w:rsidR="00A2595C" w:rsidRPr="00A2595C">
        <w:rPr>
          <w:rFonts w:cs="Arial"/>
          <w:lang w:val="fr-BE" w:eastAsia="fr-FR"/>
        </w:rPr>
        <w:t xml:space="preserve"> un navire d’approvisionnement et de commandement </w:t>
      </w:r>
      <w:r w:rsidR="00633397">
        <w:rPr>
          <w:rFonts w:cs="Arial"/>
          <w:lang w:val="fr-BE" w:eastAsia="fr-FR"/>
        </w:rPr>
        <w:t>et</w:t>
      </w:r>
      <w:r w:rsidR="00A2595C" w:rsidRPr="00A2595C">
        <w:rPr>
          <w:rFonts w:cs="Arial"/>
          <w:lang w:val="fr-BE" w:eastAsia="fr-FR"/>
        </w:rPr>
        <w:t xml:space="preserve"> </w:t>
      </w:r>
      <w:r w:rsidR="00791C26" w:rsidRPr="00A2595C">
        <w:rPr>
          <w:rFonts w:cs="Arial"/>
          <w:lang w:val="fr-BE" w:eastAsia="fr-FR"/>
        </w:rPr>
        <w:t xml:space="preserve">environ </w:t>
      </w:r>
      <w:r w:rsidR="00A2595C" w:rsidRPr="00A2595C">
        <w:rPr>
          <w:rFonts w:cs="Arial"/>
          <w:lang w:val="fr-BE" w:eastAsia="fr-FR"/>
        </w:rPr>
        <w:t>90 personnes</w:t>
      </w:r>
      <w:r w:rsidR="00791C26">
        <w:rPr>
          <w:rFonts w:cs="Arial"/>
          <w:lang w:val="fr-BE" w:eastAsia="fr-FR"/>
        </w:rPr>
        <w:t xml:space="preserve"> à bord</w:t>
      </w:r>
      <w:r w:rsidR="00A2595C" w:rsidRPr="00A2595C">
        <w:rPr>
          <w:rFonts w:cs="Arial"/>
          <w:lang w:val="fr-BE" w:eastAsia="fr-FR"/>
        </w:rPr>
        <w:t xml:space="preserve"> pendant 10 semaines. Cette opération a pour objectif de conseiller certains partenaires d’Afrique occidentale, dont le Bénin, en vue de créer une capacité de sécurité maritime autonome. Concrètement il s’agit d’appuyer les pays partenaires dans l’exécution des tâches de lutte contre la piraterie, trafic de stupéfiants, contrebande et pêche illégale</w:t>
      </w:r>
      <w:r w:rsidR="00A2595C">
        <w:rPr>
          <w:rFonts w:cs="Arial"/>
          <w:lang w:val="fr-BE" w:eastAsia="fr-FR"/>
        </w:rPr>
        <w:t>.</w:t>
      </w:r>
    </w:p>
    <w:p w:rsidR="000E3124" w:rsidRDefault="00F26457" w:rsidP="006241E6">
      <w:pPr>
        <w:rPr>
          <w:rFonts w:cs="Arial"/>
          <w:lang w:val="fr-BE" w:eastAsia="fr-FR"/>
        </w:rPr>
      </w:pPr>
      <w:r>
        <w:rPr>
          <w:rFonts w:cs="Arial"/>
          <w:lang w:val="fr-BE" w:eastAsia="fr-FR"/>
        </w:rPr>
        <w:t xml:space="preserve">En ce qui concerne les opérations multilatérales en République démocratique du Congo, la Belgique prévoit de maintenir la présence de 2 militaires à Kinshasa au sein du quartier général de </w:t>
      </w:r>
      <w:r w:rsidRPr="00687888">
        <w:rPr>
          <w:rFonts w:cs="Arial"/>
          <w:b/>
          <w:lang w:val="fr-BE" w:eastAsia="fr-FR"/>
        </w:rPr>
        <w:t>la MONUSCO</w:t>
      </w:r>
      <w:r>
        <w:rPr>
          <w:rFonts w:cs="Arial"/>
          <w:lang w:val="fr-BE" w:eastAsia="fr-FR"/>
        </w:rPr>
        <w:t xml:space="preserve"> (Mission de l'Organisation des Nations Unies pour la Stabilisation en République démocratique du Congo) pendant toute l’année.</w:t>
      </w:r>
    </w:p>
    <w:p w:rsidR="00294EB8" w:rsidRPr="00294EB8" w:rsidRDefault="00294EB8" w:rsidP="00294EB8">
      <w:pPr>
        <w:tabs>
          <w:tab w:val="left" w:pos="2523"/>
        </w:tabs>
        <w:spacing w:before="120" w:after="120" w:line="240" w:lineRule="auto"/>
        <w:jc w:val="both"/>
        <w:rPr>
          <w:rFonts w:cs="Arial"/>
          <w:b/>
          <w:bCs/>
          <w:u w:val="single"/>
          <w:lang w:val="fr-BE" w:eastAsia="fr-FR"/>
        </w:rPr>
      </w:pPr>
      <w:r>
        <w:rPr>
          <w:rFonts w:cs="Arial"/>
          <w:b/>
          <w:bCs/>
          <w:u w:val="single"/>
          <w:lang w:val="fr-BE" w:eastAsia="fr-FR"/>
        </w:rPr>
        <w:t>IV.S</w:t>
      </w:r>
      <w:r w:rsidRPr="00294EB8">
        <w:rPr>
          <w:rFonts w:cs="Arial"/>
          <w:b/>
          <w:bCs/>
          <w:u w:val="single"/>
          <w:lang w:val="fr-BE" w:eastAsia="fr-FR"/>
        </w:rPr>
        <w:t>tandby Forces</w:t>
      </w:r>
    </w:p>
    <w:p w:rsidR="009E2F86" w:rsidRPr="0088727F" w:rsidRDefault="009E2F86" w:rsidP="0088727F">
      <w:pPr>
        <w:spacing w:before="120"/>
        <w:jc w:val="both"/>
        <w:rPr>
          <w:rFonts w:cs="Arial"/>
          <w:i/>
          <w:lang w:val="fr-BE" w:eastAsia="fr-FR"/>
        </w:rPr>
      </w:pPr>
      <w:r w:rsidRPr="0088727F">
        <w:rPr>
          <w:rFonts w:cs="Arial"/>
          <w:i/>
          <w:lang w:val="fr-BE" w:eastAsia="fr-FR"/>
        </w:rPr>
        <w:t>4.1 OTAN</w:t>
      </w:r>
    </w:p>
    <w:p w:rsidR="00791C26" w:rsidRDefault="009E2F86" w:rsidP="0088727F">
      <w:pPr>
        <w:spacing w:before="120"/>
        <w:jc w:val="both"/>
        <w:rPr>
          <w:rFonts w:cs="Arial"/>
          <w:lang w:val="fr-BE" w:eastAsia="fr-FR"/>
        </w:rPr>
      </w:pPr>
      <w:r w:rsidRPr="009E2F86">
        <w:rPr>
          <w:rFonts w:cs="Arial"/>
          <w:lang w:val="fr-BE" w:eastAsia="fr-FR"/>
        </w:rPr>
        <w:t xml:space="preserve">Outre les mesures d’assurance (assurance measures) dans le cadre du RAP (Readiness Action Plan) et la contribution à l’enhanced Forward Presence (eFP), la Belgique participera aussi en 2018 à la deuxième composante de ce plan, les mesures d’adaptation (adaptation measures). Ces mesures visent à renforcer l’état de préparation et l’engagement opérationnels des forces de l’OTAN. C’est à cette fin que la VJTF (Very High Readiness Joint Task Force) s’est constituée dans le cadre de l’eNRF (Enhanced NATO Response Force). Cette VJTF doit pouvoir se déployer en un temps très court sur le territoire de l’Alliance pour rassurer et dissuader. </w:t>
      </w:r>
    </w:p>
    <w:p w:rsidR="0088727F" w:rsidRDefault="009E2F86" w:rsidP="0088727F">
      <w:pPr>
        <w:spacing w:before="120"/>
        <w:jc w:val="both"/>
        <w:rPr>
          <w:rFonts w:cs="Arial"/>
          <w:lang w:val="fr-BE" w:eastAsia="fr-FR"/>
        </w:rPr>
      </w:pPr>
      <w:r w:rsidRPr="009E2F86">
        <w:rPr>
          <w:rFonts w:cs="Arial"/>
          <w:lang w:val="fr-BE" w:eastAsia="fr-FR"/>
        </w:rPr>
        <w:t xml:space="preserve">La participation belge à la VJTF 2018 comprend l’engagement </w:t>
      </w:r>
      <w:r w:rsidR="00791C26">
        <w:rPr>
          <w:rFonts w:cs="Arial"/>
          <w:lang w:val="fr-BE" w:eastAsia="fr-FR"/>
        </w:rPr>
        <w:t>dans</w:t>
      </w:r>
      <w:r w:rsidRPr="009E2F86">
        <w:rPr>
          <w:rFonts w:cs="Arial"/>
          <w:lang w:val="fr-BE" w:eastAsia="fr-FR"/>
        </w:rPr>
        <w:t xml:space="preserve"> un délai de 5 à 7 jours </w:t>
      </w:r>
      <w:r w:rsidR="00791C26">
        <w:rPr>
          <w:rFonts w:cs="Arial"/>
          <w:lang w:val="fr-BE" w:eastAsia="fr-FR"/>
        </w:rPr>
        <w:t>de</w:t>
      </w:r>
      <w:r w:rsidRPr="009E2F86">
        <w:rPr>
          <w:rFonts w:cs="Arial"/>
          <w:lang w:val="fr-BE" w:eastAsia="fr-FR"/>
        </w:rPr>
        <w:t>:</w:t>
      </w:r>
      <w:r w:rsidR="00A05B5C">
        <w:rPr>
          <w:rFonts w:cs="Arial"/>
          <w:lang w:val="fr-BE" w:eastAsia="fr-FR"/>
        </w:rPr>
        <w:t xml:space="preserve"> </w:t>
      </w:r>
    </w:p>
    <w:p w:rsidR="0088727F" w:rsidRPr="0088727F" w:rsidRDefault="009E2F86" w:rsidP="0088727F">
      <w:pPr>
        <w:pStyle w:val="ListParagraph"/>
        <w:numPr>
          <w:ilvl w:val="0"/>
          <w:numId w:val="39"/>
        </w:numPr>
        <w:spacing w:before="120" w:after="200" w:line="276" w:lineRule="auto"/>
        <w:jc w:val="both"/>
        <w:rPr>
          <w:rFonts w:ascii="Arial" w:hAnsi="Arial" w:cs="Arial"/>
          <w:sz w:val="20"/>
          <w:szCs w:val="20"/>
          <w:lang w:val="fr-BE" w:eastAsia="fr-FR"/>
        </w:rPr>
      </w:pPr>
      <w:r w:rsidRPr="0088727F">
        <w:rPr>
          <w:rFonts w:ascii="Arial" w:hAnsi="Arial" w:cs="Arial"/>
          <w:sz w:val="20"/>
          <w:szCs w:val="20"/>
          <w:lang w:val="fr-BE" w:eastAsia="fr-FR"/>
        </w:rPr>
        <w:t>6 F16 pendant toute l’année avec un maximum de 200 militaires. De plus, 3 à 26 militaires se préparent à renforcer un Joint Force Air Component Command (JFACC)</w:t>
      </w:r>
      <w:r w:rsidR="00A05B5C" w:rsidRPr="0088727F">
        <w:rPr>
          <w:rFonts w:ascii="Arial" w:hAnsi="Arial" w:cs="Arial"/>
          <w:sz w:val="20"/>
          <w:szCs w:val="20"/>
          <w:lang w:val="fr-BE" w:eastAsia="fr-FR"/>
        </w:rPr>
        <w:t xml:space="preserve"> </w:t>
      </w:r>
      <w:r w:rsidRPr="0088727F">
        <w:rPr>
          <w:rFonts w:ascii="Arial" w:hAnsi="Arial" w:cs="Arial"/>
          <w:sz w:val="20"/>
          <w:szCs w:val="20"/>
          <w:lang w:val="fr-BE" w:eastAsia="fr-FR"/>
        </w:rPr>
        <w:t>;</w:t>
      </w:r>
      <w:r w:rsidR="00A05B5C" w:rsidRPr="0088727F">
        <w:rPr>
          <w:rFonts w:ascii="Arial" w:hAnsi="Arial" w:cs="Arial"/>
          <w:sz w:val="20"/>
          <w:szCs w:val="20"/>
          <w:lang w:val="fr-BE" w:eastAsia="fr-FR"/>
        </w:rPr>
        <w:t xml:space="preserve"> </w:t>
      </w:r>
    </w:p>
    <w:p w:rsidR="0088727F" w:rsidRPr="0088727F" w:rsidRDefault="009E2F86" w:rsidP="0088727F">
      <w:pPr>
        <w:pStyle w:val="ListParagraph"/>
        <w:numPr>
          <w:ilvl w:val="0"/>
          <w:numId w:val="39"/>
        </w:numPr>
        <w:spacing w:before="120" w:after="200" w:line="276" w:lineRule="auto"/>
        <w:jc w:val="both"/>
        <w:rPr>
          <w:rFonts w:ascii="Arial" w:hAnsi="Arial" w:cs="Arial"/>
          <w:sz w:val="20"/>
          <w:szCs w:val="20"/>
          <w:lang w:val="fr-BE" w:eastAsia="fr-FR"/>
        </w:rPr>
      </w:pPr>
      <w:r w:rsidRPr="0088727F">
        <w:rPr>
          <w:rFonts w:ascii="Arial" w:hAnsi="Arial" w:cs="Arial"/>
          <w:sz w:val="20"/>
          <w:szCs w:val="20"/>
          <w:lang w:val="fr-BE" w:eastAsia="fr-FR"/>
        </w:rPr>
        <w:t xml:space="preserve">1 chasseur de mines ainsi que 45 militaires environ de janvier à juin mis à disposition du Standing Naval Mine Counter Measures Group 1 (SNMCMG 1) et une frégate mise à disposition des Standing </w:t>
      </w:r>
      <w:r w:rsidRPr="0088727F">
        <w:rPr>
          <w:rFonts w:ascii="Arial" w:hAnsi="Arial" w:cs="Arial"/>
          <w:sz w:val="20"/>
          <w:szCs w:val="20"/>
          <w:lang w:val="fr-BE" w:eastAsia="fr-FR"/>
        </w:rPr>
        <w:lastRenderedPageBreak/>
        <w:t>Naval Maritime Groups (SNMGs) avec au maximum 175 membres d’équipage de janvier à la fin mars et ensuite, d’octobre à novembre 2018</w:t>
      </w:r>
      <w:r w:rsidR="0088727F" w:rsidRPr="0088727F">
        <w:rPr>
          <w:rFonts w:ascii="Arial" w:hAnsi="Arial" w:cs="Arial"/>
          <w:sz w:val="20"/>
          <w:szCs w:val="20"/>
          <w:lang w:val="fr-BE" w:eastAsia="fr-FR"/>
        </w:rPr>
        <w:t xml:space="preserve"> </w:t>
      </w:r>
      <w:r w:rsidRPr="0088727F">
        <w:rPr>
          <w:rFonts w:ascii="Arial" w:hAnsi="Arial" w:cs="Arial"/>
          <w:sz w:val="20"/>
          <w:szCs w:val="20"/>
          <w:lang w:val="fr-BE" w:eastAsia="fr-FR"/>
        </w:rPr>
        <w:t>;</w:t>
      </w:r>
    </w:p>
    <w:p w:rsidR="009E2F86" w:rsidRPr="0088727F" w:rsidRDefault="009E2F86" w:rsidP="0088727F">
      <w:pPr>
        <w:pStyle w:val="ListParagraph"/>
        <w:numPr>
          <w:ilvl w:val="0"/>
          <w:numId w:val="39"/>
        </w:numPr>
        <w:spacing w:before="120" w:after="200" w:line="276" w:lineRule="auto"/>
        <w:jc w:val="both"/>
        <w:rPr>
          <w:rFonts w:ascii="Arial" w:hAnsi="Arial" w:cs="Arial"/>
          <w:sz w:val="20"/>
          <w:szCs w:val="20"/>
          <w:lang w:val="fr-BE" w:eastAsia="fr-FR"/>
        </w:rPr>
      </w:pPr>
      <w:r w:rsidRPr="0088727F">
        <w:rPr>
          <w:rFonts w:ascii="Arial" w:hAnsi="Arial" w:cs="Arial"/>
          <w:sz w:val="20"/>
          <w:szCs w:val="20"/>
          <w:lang w:val="fr-BE" w:eastAsia="fr-FR"/>
        </w:rPr>
        <w:t xml:space="preserve">Le commandement et </w:t>
      </w:r>
      <w:r w:rsidR="00791C26">
        <w:rPr>
          <w:rFonts w:ascii="Arial" w:hAnsi="Arial" w:cs="Arial"/>
          <w:sz w:val="20"/>
          <w:szCs w:val="20"/>
          <w:lang w:val="fr-BE" w:eastAsia="fr-FR"/>
        </w:rPr>
        <w:t xml:space="preserve">la </w:t>
      </w:r>
      <w:r w:rsidRPr="0088727F">
        <w:rPr>
          <w:rFonts w:ascii="Arial" w:hAnsi="Arial" w:cs="Arial"/>
          <w:sz w:val="20"/>
          <w:szCs w:val="20"/>
          <w:lang w:val="fr-BE" w:eastAsia="fr-FR"/>
        </w:rPr>
        <w:t>participation à l’état-major du SNMCMG 1 pendant toute l’année et l’engagement d’un navire d’approvisionnement et de commandement pendant le deuxième semestre avec une centaine de militaires.</w:t>
      </w:r>
    </w:p>
    <w:p w:rsidR="009E2F86" w:rsidRPr="0088727F" w:rsidRDefault="009E2F86" w:rsidP="0088727F">
      <w:pPr>
        <w:spacing w:before="120"/>
        <w:jc w:val="both"/>
        <w:rPr>
          <w:rFonts w:cs="Arial"/>
          <w:i/>
          <w:lang w:val="fr-BE" w:eastAsia="fr-FR"/>
        </w:rPr>
      </w:pPr>
      <w:r w:rsidRPr="0088727F">
        <w:rPr>
          <w:rFonts w:cs="Arial"/>
          <w:i/>
          <w:lang w:val="fr-BE" w:eastAsia="fr-FR"/>
        </w:rPr>
        <w:t>4.2 EU</w:t>
      </w:r>
    </w:p>
    <w:p w:rsidR="003B3951" w:rsidRPr="003B3951" w:rsidRDefault="009E2F86" w:rsidP="0088727F">
      <w:pPr>
        <w:spacing w:before="120"/>
        <w:jc w:val="both"/>
        <w:rPr>
          <w:rFonts w:cs="Arial"/>
          <w:b/>
          <w:bCs/>
          <w:u w:val="single"/>
          <w:lang w:val="fr-BE" w:eastAsia="fr-FR"/>
        </w:rPr>
      </w:pPr>
      <w:r>
        <w:rPr>
          <w:rFonts w:cs="Arial"/>
          <w:lang w:val="fr-BE" w:eastAsia="fr-FR"/>
        </w:rPr>
        <w:t>P</w:t>
      </w:r>
      <w:r w:rsidRPr="009E2F86">
        <w:rPr>
          <w:rFonts w:cs="Arial"/>
          <w:lang w:val="fr-BE" w:eastAsia="fr-FR"/>
        </w:rPr>
        <w:t>endant toute l’année</w:t>
      </w:r>
      <w:r w:rsidR="00791C26">
        <w:rPr>
          <w:rFonts w:cs="Arial"/>
          <w:lang w:val="fr-BE" w:eastAsia="fr-FR"/>
        </w:rPr>
        <w:t>,</w:t>
      </w:r>
      <w:r w:rsidRPr="009E2F86">
        <w:rPr>
          <w:rFonts w:cs="Arial"/>
          <w:lang w:val="fr-BE" w:eastAsia="fr-FR"/>
        </w:rPr>
        <w:t xml:space="preserve"> la Belgique participera à l’European Union Battle Group BENELUX (EUBG) 2018, dont elle prendra le commandement au deuxième semestre. Sa participation se monte à au maximum 800 militaires. Dans ce même cadre, elle déploie aussi un détachement d’hélicoptères de 100 militaires et 2 Hélicoptères de type CAYMAN</w:t>
      </w:r>
      <w:r w:rsidR="00791C26">
        <w:rPr>
          <w:rFonts w:cs="Arial"/>
          <w:lang w:val="fr-BE" w:eastAsia="fr-FR"/>
        </w:rPr>
        <w:t xml:space="preserve"> NH-90</w:t>
      </w:r>
      <w:r w:rsidR="003B3951" w:rsidRPr="003B3951">
        <w:rPr>
          <w:rFonts w:cs="Arial"/>
          <w:lang w:val="fr-BE" w:eastAsia="fr-FR"/>
        </w:rPr>
        <w:t>.</w:t>
      </w:r>
    </w:p>
    <w:p w:rsidR="000E3124" w:rsidRPr="0088727F" w:rsidRDefault="009E2F86" w:rsidP="006241E6">
      <w:pPr>
        <w:rPr>
          <w:rFonts w:cs="Arial"/>
          <w:i/>
          <w:lang w:val="fr-BE"/>
        </w:rPr>
      </w:pPr>
      <w:r w:rsidRPr="0088727F">
        <w:rPr>
          <w:rFonts w:cs="Arial"/>
          <w:i/>
          <w:lang w:val="fr-BE"/>
        </w:rPr>
        <w:t>4.3 ONU</w:t>
      </w:r>
    </w:p>
    <w:p w:rsidR="0088727F" w:rsidRDefault="009E2F86" w:rsidP="0088727F">
      <w:pPr>
        <w:rPr>
          <w:rFonts w:cs="Arial"/>
          <w:lang w:val="fr-BE"/>
        </w:rPr>
      </w:pPr>
      <w:r w:rsidRPr="009E2F86">
        <w:rPr>
          <w:rFonts w:cs="Arial"/>
          <w:lang w:val="fr-BE"/>
        </w:rPr>
        <w:t>La Défense propose les capacités suivantes en stand-by au</w:t>
      </w:r>
      <w:r w:rsidR="00791C26">
        <w:rPr>
          <w:rFonts w:cs="Arial"/>
          <w:lang w:val="fr-BE"/>
        </w:rPr>
        <w:t xml:space="preserve"> profit des </w:t>
      </w:r>
      <w:r w:rsidRPr="009E2F86">
        <w:rPr>
          <w:rFonts w:cs="Arial"/>
          <w:lang w:val="fr-BE"/>
        </w:rPr>
        <w:t>Nations Unies</w:t>
      </w:r>
      <w:r>
        <w:rPr>
          <w:rFonts w:cs="Arial"/>
          <w:lang w:val="fr-BE"/>
        </w:rPr>
        <w:t> :</w:t>
      </w:r>
      <w:r w:rsidR="0088727F">
        <w:rPr>
          <w:rFonts w:cs="Arial"/>
          <w:lang w:val="fr-BE"/>
        </w:rPr>
        <w:t xml:space="preserve"> </w:t>
      </w:r>
    </w:p>
    <w:p w:rsidR="0088727F" w:rsidRPr="0088727F" w:rsidRDefault="009E2F86" w:rsidP="0088727F">
      <w:pPr>
        <w:pStyle w:val="ListParagraph"/>
        <w:numPr>
          <w:ilvl w:val="0"/>
          <w:numId w:val="40"/>
        </w:numPr>
        <w:spacing w:before="120" w:after="200" w:line="276" w:lineRule="auto"/>
        <w:rPr>
          <w:rFonts w:ascii="Arial" w:hAnsi="Arial" w:cs="Arial"/>
          <w:sz w:val="20"/>
          <w:szCs w:val="20"/>
          <w:lang w:val="fr-BE"/>
        </w:rPr>
      </w:pPr>
      <w:r w:rsidRPr="0088727F">
        <w:rPr>
          <w:rFonts w:ascii="Arial" w:hAnsi="Arial" w:cs="Arial"/>
          <w:sz w:val="20"/>
          <w:szCs w:val="20"/>
          <w:lang w:val="fr-BE"/>
        </w:rPr>
        <w:t>Un détachement Unmanned Aerial System (UAS) (2 à 4 B-HUNTER)</w:t>
      </w:r>
      <w:r w:rsidR="0088727F" w:rsidRPr="0088727F">
        <w:rPr>
          <w:rFonts w:ascii="Arial" w:hAnsi="Arial" w:cs="Arial"/>
          <w:sz w:val="20"/>
          <w:szCs w:val="20"/>
          <w:lang w:val="fr-BE"/>
        </w:rPr>
        <w:t xml:space="preserve"> </w:t>
      </w:r>
      <w:r w:rsidRPr="0088727F">
        <w:rPr>
          <w:rFonts w:ascii="Arial" w:hAnsi="Arial" w:cs="Arial"/>
          <w:sz w:val="20"/>
          <w:szCs w:val="20"/>
          <w:lang w:val="fr-BE"/>
        </w:rPr>
        <w:t>;</w:t>
      </w:r>
      <w:r w:rsidR="0088727F" w:rsidRPr="0088727F">
        <w:rPr>
          <w:rFonts w:ascii="Arial" w:hAnsi="Arial" w:cs="Arial"/>
          <w:sz w:val="20"/>
          <w:szCs w:val="20"/>
          <w:lang w:val="fr-BE"/>
        </w:rPr>
        <w:t xml:space="preserve"> </w:t>
      </w:r>
    </w:p>
    <w:p w:rsidR="0088727F" w:rsidRPr="0088727F" w:rsidRDefault="009E2F86" w:rsidP="0088727F">
      <w:pPr>
        <w:pStyle w:val="ListParagraph"/>
        <w:numPr>
          <w:ilvl w:val="0"/>
          <w:numId w:val="40"/>
        </w:numPr>
        <w:spacing w:before="120" w:after="200" w:line="276" w:lineRule="auto"/>
        <w:rPr>
          <w:rFonts w:ascii="Arial" w:hAnsi="Arial" w:cs="Arial"/>
          <w:sz w:val="20"/>
          <w:szCs w:val="20"/>
          <w:lang w:val="fr-BE"/>
        </w:rPr>
      </w:pPr>
      <w:r w:rsidRPr="0088727F">
        <w:rPr>
          <w:rFonts w:ascii="Arial" w:hAnsi="Arial" w:cs="Arial"/>
          <w:sz w:val="20"/>
          <w:szCs w:val="20"/>
          <w:lang w:val="fr-BE"/>
        </w:rPr>
        <w:t>6 avions de chasse F 16</w:t>
      </w:r>
      <w:r w:rsidR="0088727F" w:rsidRPr="0088727F">
        <w:rPr>
          <w:rFonts w:ascii="Arial" w:hAnsi="Arial" w:cs="Arial"/>
          <w:sz w:val="20"/>
          <w:szCs w:val="20"/>
          <w:lang w:val="fr-BE"/>
        </w:rPr>
        <w:t xml:space="preserve"> </w:t>
      </w:r>
      <w:r w:rsidRPr="0088727F">
        <w:rPr>
          <w:rFonts w:ascii="Arial" w:hAnsi="Arial" w:cs="Arial"/>
          <w:sz w:val="20"/>
          <w:szCs w:val="20"/>
          <w:lang w:val="fr-BE"/>
        </w:rPr>
        <w:t>;</w:t>
      </w:r>
    </w:p>
    <w:p w:rsidR="0088727F" w:rsidRPr="0088727F" w:rsidRDefault="009E2F86" w:rsidP="0088727F">
      <w:pPr>
        <w:pStyle w:val="ListParagraph"/>
        <w:numPr>
          <w:ilvl w:val="0"/>
          <w:numId w:val="40"/>
        </w:numPr>
        <w:spacing w:before="120" w:after="200" w:line="276" w:lineRule="auto"/>
        <w:rPr>
          <w:rFonts w:ascii="Arial" w:hAnsi="Arial" w:cs="Arial"/>
          <w:sz w:val="20"/>
          <w:szCs w:val="20"/>
          <w:lang w:val="fr-BE"/>
        </w:rPr>
      </w:pPr>
      <w:r w:rsidRPr="0088727F">
        <w:rPr>
          <w:rFonts w:ascii="Arial" w:hAnsi="Arial" w:cs="Arial"/>
          <w:sz w:val="20"/>
          <w:szCs w:val="20"/>
          <w:lang w:val="fr-BE"/>
        </w:rPr>
        <w:t>Des spécialistes en renfort d’une Joint Force Air Component Command (JFACC)</w:t>
      </w:r>
      <w:r w:rsidR="0088727F" w:rsidRPr="0088727F">
        <w:rPr>
          <w:rFonts w:ascii="Arial" w:hAnsi="Arial" w:cs="Arial"/>
          <w:sz w:val="20"/>
          <w:szCs w:val="20"/>
          <w:lang w:val="fr-BE"/>
        </w:rPr>
        <w:t xml:space="preserve"> </w:t>
      </w:r>
      <w:r w:rsidRPr="0088727F">
        <w:rPr>
          <w:rFonts w:ascii="Arial" w:hAnsi="Arial" w:cs="Arial"/>
          <w:sz w:val="20"/>
          <w:szCs w:val="20"/>
          <w:lang w:val="fr-BE"/>
        </w:rPr>
        <w:t>;</w:t>
      </w:r>
    </w:p>
    <w:p w:rsidR="0088727F" w:rsidRPr="0088727F" w:rsidRDefault="009E2F86" w:rsidP="0088727F">
      <w:pPr>
        <w:pStyle w:val="ListParagraph"/>
        <w:numPr>
          <w:ilvl w:val="0"/>
          <w:numId w:val="40"/>
        </w:numPr>
        <w:spacing w:before="120" w:after="200" w:line="276" w:lineRule="auto"/>
        <w:rPr>
          <w:rFonts w:ascii="Arial" w:hAnsi="Arial" w:cs="Arial"/>
          <w:sz w:val="20"/>
          <w:szCs w:val="20"/>
          <w:lang w:val="fr-BE"/>
        </w:rPr>
      </w:pPr>
      <w:r w:rsidRPr="0088727F">
        <w:rPr>
          <w:rFonts w:ascii="Arial" w:hAnsi="Arial" w:cs="Arial"/>
          <w:sz w:val="20"/>
          <w:szCs w:val="20"/>
          <w:lang w:val="fr-BE"/>
        </w:rPr>
        <w:t>1 A321 pour des missions ponctuelles d’une durée limitée</w:t>
      </w:r>
      <w:r w:rsidR="0088727F" w:rsidRPr="0088727F">
        <w:rPr>
          <w:rFonts w:ascii="Arial" w:hAnsi="Arial" w:cs="Arial"/>
          <w:sz w:val="20"/>
          <w:szCs w:val="20"/>
          <w:lang w:val="fr-BE"/>
        </w:rPr>
        <w:t xml:space="preserve"> </w:t>
      </w:r>
      <w:r w:rsidRPr="0088727F">
        <w:rPr>
          <w:rFonts w:ascii="Arial" w:hAnsi="Arial" w:cs="Arial"/>
          <w:sz w:val="20"/>
          <w:szCs w:val="20"/>
          <w:lang w:val="fr-BE"/>
        </w:rPr>
        <w:t xml:space="preserve">; </w:t>
      </w:r>
    </w:p>
    <w:p w:rsidR="0088727F" w:rsidRPr="0088727F" w:rsidRDefault="009E2F86" w:rsidP="0088727F">
      <w:pPr>
        <w:pStyle w:val="ListParagraph"/>
        <w:numPr>
          <w:ilvl w:val="0"/>
          <w:numId w:val="40"/>
        </w:numPr>
        <w:spacing w:before="120" w:after="200" w:line="276" w:lineRule="auto"/>
        <w:rPr>
          <w:rFonts w:ascii="Arial" w:hAnsi="Arial" w:cs="Arial"/>
          <w:sz w:val="20"/>
          <w:szCs w:val="20"/>
          <w:lang w:val="fr-BE"/>
        </w:rPr>
      </w:pPr>
      <w:r w:rsidRPr="0088727F">
        <w:rPr>
          <w:rFonts w:ascii="Arial" w:hAnsi="Arial" w:cs="Arial"/>
          <w:sz w:val="20"/>
          <w:szCs w:val="20"/>
          <w:lang w:val="fr-BE"/>
        </w:rPr>
        <w:t>1 navire de commandement et d’appui logistique</w:t>
      </w:r>
      <w:r w:rsidR="0088727F" w:rsidRPr="0088727F">
        <w:rPr>
          <w:rFonts w:ascii="Arial" w:hAnsi="Arial" w:cs="Arial"/>
          <w:sz w:val="20"/>
          <w:szCs w:val="20"/>
          <w:lang w:val="fr-BE"/>
        </w:rPr>
        <w:t xml:space="preserve"> </w:t>
      </w:r>
      <w:r w:rsidRPr="0088727F">
        <w:rPr>
          <w:rFonts w:ascii="Arial" w:hAnsi="Arial" w:cs="Arial"/>
          <w:sz w:val="20"/>
          <w:szCs w:val="20"/>
          <w:lang w:val="fr-BE"/>
        </w:rPr>
        <w:t>;</w:t>
      </w:r>
      <w:r w:rsidR="0088727F" w:rsidRPr="0088727F">
        <w:rPr>
          <w:rFonts w:ascii="Arial" w:hAnsi="Arial" w:cs="Arial"/>
          <w:sz w:val="20"/>
          <w:szCs w:val="20"/>
          <w:lang w:val="fr-BE"/>
        </w:rPr>
        <w:t xml:space="preserve"> </w:t>
      </w:r>
    </w:p>
    <w:p w:rsidR="009E2F86" w:rsidRPr="0088727F" w:rsidRDefault="009E2F86" w:rsidP="0088727F">
      <w:pPr>
        <w:pStyle w:val="ListParagraph"/>
        <w:numPr>
          <w:ilvl w:val="0"/>
          <w:numId w:val="40"/>
        </w:numPr>
        <w:spacing w:before="120" w:after="200" w:line="276" w:lineRule="auto"/>
        <w:rPr>
          <w:rFonts w:ascii="Arial" w:hAnsi="Arial" w:cs="Arial"/>
          <w:sz w:val="20"/>
          <w:szCs w:val="20"/>
          <w:lang w:val="fr-BE"/>
        </w:rPr>
      </w:pPr>
      <w:r w:rsidRPr="0088727F">
        <w:rPr>
          <w:rFonts w:ascii="Arial" w:hAnsi="Arial" w:cs="Arial"/>
          <w:sz w:val="20"/>
          <w:szCs w:val="20"/>
          <w:lang w:val="fr-BE"/>
        </w:rPr>
        <w:t>1 chasseur de mines et le personnel spécialisé pour former une unité d’appui logistique</w:t>
      </w:r>
      <w:r w:rsidR="0088727F" w:rsidRPr="0088727F">
        <w:rPr>
          <w:rFonts w:ascii="Arial" w:hAnsi="Arial" w:cs="Arial"/>
          <w:sz w:val="20"/>
          <w:szCs w:val="20"/>
          <w:lang w:val="fr-BE"/>
        </w:rPr>
        <w:t>.</w:t>
      </w:r>
    </w:p>
    <w:p w:rsidR="009E2F86" w:rsidRPr="009E2F86" w:rsidRDefault="009E2F86" w:rsidP="0088727F">
      <w:pPr>
        <w:spacing w:before="120"/>
        <w:rPr>
          <w:rFonts w:cs="Arial"/>
          <w:b/>
          <w:lang w:val="fr-BE"/>
        </w:rPr>
      </w:pPr>
      <w:r w:rsidRPr="009E2F86">
        <w:rPr>
          <w:rFonts w:cs="Arial"/>
          <w:b/>
          <w:lang w:val="fr-BE"/>
        </w:rPr>
        <w:t>V. Appui au Service public fédéral Affaires étrangères</w:t>
      </w:r>
    </w:p>
    <w:p w:rsidR="009E2F86" w:rsidRDefault="009E2F86" w:rsidP="0088727F">
      <w:pPr>
        <w:spacing w:before="120"/>
        <w:rPr>
          <w:rFonts w:cs="Arial"/>
          <w:lang w:val="fr-BE"/>
        </w:rPr>
      </w:pPr>
      <w:r w:rsidRPr="009E2F86">
        <w:rPr>
          <w:rFonts w:cs="Arial"/>
          <w:lang w:val="fr-BE"/>
        </w:rPr>
        <w:t>La Défense et les Affaires étrangères travaillent en étroite collaboration. À cet égard, la Défense apporte le soutien suivant :</w:t>
      </w:r>
    </w:p>
    <w:p w:rsidR="00A05B5C" w:rsidRPr="00A05B5C" w:rsidRDefault="00A05B5C" w:rsidP="0088727F">
      <w:pPr>
        <w:spacing w:before="120"/>
        <w:rPr>
          <w:rFonts w:cs="Arial"/>
          <w:lang w:val="fr-BE"/>
        </w:rPr>
      </w:pPr>
      <w:r w:rsidRPr="00A05B5C">
        <w:rPr>
          <w:rFonts w:cs="Arial"/>
          <w:lang w:val="fr-BE"/>
        </w:rPr>
        <w:t xml:space="preserve">La protection de nos ambassades en République démocratique du Congo et au Burundi à la demande du SPF Affaires étrangères </w:t>
      </w:r>
      <w:r w:rsidR="00791C26">
        <w:rPr>
          <w:rFonts w:cs="Arial"/>
          <w:lang w:val="fr-BE"/>
        </w:rPr>
        <w:t xml:space="preserve">avec au </w:t>
      </w:r>
      <w:r w:rsidRPr="00A05B5C">
        <w:rPr>
          <w:rFonts w:cs="Arial"/>
          <w:lang w:val="fr-BE"/>
        </w:rPr>
        <w:t xml:space="preserve">maximum 10 militaires (Détachement Agents de Sécurité – DAS) sera prolongée en 2018 jusqu’à nouvel ordre. </w:t>
      </w:r>
    </w:p>
    <w:p w:rsidR="00A05B5C" w:rsidRDefault="00A05B5C" w:rsidP="0088727F">
      <w:pPr>
        <w:spacing w:before="120"/>
        <w:rPr>
          <w:rFonts w:cs="Arial"/>
          <w:lang w:val="fr-BE"/>
        </w:rPr>
      </w:pPr>
      <w:r w:rsidRPr="00A05B5C">
        <w:rPr>
          <w:rFonts w:cs="Arial"/>
          <w:lang w:val="fr-BE"/>
        </w:rPr>
        <w:t>La Belgique doit être prête en toute circonstance à porter assistance aux ressortissants et ayants-droit belges à l’étranger. L’organisation de cette assistance relève de la responsabilité et de la compétence du SPF Affaires étrangères au nom du gouvernement. Afin de pouvoir exécuter cette mission, la Défense prépare un détachement d’intervention ainsi que des moyens de transport aériens. Ce détachement est en permanence opérationnel.</w:t>
      </w:r>
    </w:p>
    <w:p w:rsidR="0088727F" w:rsidRDefault="00A05B5C" w:rsidP="0088727F">
      <w:pPr>
        <w:spacing w:before="120"/>
        <w:rPr>
          <w:rFonts w:cs="Arial"/>
          <w:lang w:val="fr-BE"/>
        </w:rPr>
      </w:pPr>
      <w:r w:rsidRPr="00A05B5C">
        <w:rPr>
          <w:rFonts w:cs="Arial"/>
          <w:lang w:val="fr-BE"/>
        </w:rPr>
        <w:t xml:space="preserve">Le SPF Affaires étrangères peut demander à la Défense : </w:t>
      </w:r>
    </w:p>
    <w:p w:rsidR="0088727F" w:rsidRPr="0088727F" w:rsidRDefault="00A05B5C" w:rsidP="0088727F">
      <w:pPr>
        <w:pStyle w:val="ListParagraph"/>
        <w:numPr>
          <w:ilvl w:val="0"/>
          <w:numId w:val="41"/>
        </w:numPr>
        <w:spacing w:before="120" w:after="200" w:line="276" w:lineRule="auto"/>
        <w:rPr>
          <w:rFonts w:ascii="Arial" w:hAnsi="Arial" w:cs="Arial"/>
          <w:sz w:val="20"/>
          <w:szCs w:val="20"/>
          <w:lang w:val="fr-BE"/>
        </w:rPr>
      </w:pPr>
      <w:r w:rsidRPr="0088727F">
        <w:rPr>
          <w:rFonts w:ascii="Arial" w:hAnsi="Arial" w:cs="Arial"/>
          <w:sz w:val="20"/>
          <w:szCs w:val="20"/>
          <w:lang w:val="fr-BE"/>
        </w:rPr>
        <w:t>D’appuyer l’élaboration et/ou l’actualisation du dossier de crise d</w:t>
      </w:r>
      <w:r w:rsidR="00791C26">
        <w:rPr>
          <w:rFonts w:ascii="Arial" w:hAnsi="Arial" w:cs="Arial"/>
          <w:sz w:val="20"/>
          <w:szCs w:val="20"/>
          <w:lang w:val="fr-BE"/>
        </w:rPr>
        <w:t>e</w:t>
      </w:r>
      <w:r w:rsidRPr="0088727F">
        <w:rPr>
          <w:rFonts w:ascii="Arial" w:hAnsi="Arial" w:cs="Arial"/>
          <w:sz w:val="20"/>
          <w:szCs w:val="20"/>
          <w:lang w:val="fr-BE"/>
        </w:rPr>
        <w:t xml:space="preserve"> poste diplomatique</w:t>
      </w:r>
      <w:r w:rsidR="0088727F" w:rsidRPr="0088727F">
        <w:rPr>
          <w:rFonts w:ascii="Arial" w:hAnsi="Arial" w:cs="Arial"/>
          <w:sz w:val="20"/>
          <w:szCs w:val="20"/>
          <w:lang w:val="fr-BE"/>
        </w:rPr>
        <w:t> ;</w:t>
      </w:r>
    </w:p>
    <w:p w:rsidR="0088727F" w:rsidRPr="0088727F" w:rsidRDefault="00A05B5C" w:rsidP="0088727F">
      <w:pPr>
        <w:pStyle w:val="ListParagraph"/>
        <w:numPr>
          <w:ilvl w:val="0"/>
          <w:numId w:val="41"/>
        </w:numPr>
        <w:spacing w:before="120" w:after="200" w:line="276" w:lineRule="auto"/>
        <w:rPr>
          <w:rFonts w:ascii="Arial" w:hAnsi="Arial" w:cs="Arial"/>
          <w:sz w:val="20"/>
          <w:szCs w:val="20"/>
          <w:lang w:val="fr-BE"/>
        </w:rPr>
      </w:pPr>
      <w:r w:rsidRPr="0088727F">
        <w:rPr>
          <w:rFonts w:ascii="Arial" w:hAnsi="Arial" w:cs="Arial"/>
          <w:sz w:val="20"/>
          <w:szCs w:val="20"/>
          <w:lang w:val="fr-BE"/>
        </w:rPr>
        <w:t>D’envoyer une équipe (dans un rôle de conseil ou de protection) pour assurer la sécurité du fonctionnement d’un poste diplomatique</w:t>
      </w:r>
      <w:r w:rsidR="0088727F" w:rsidRPr="0088727F">
        <w:rPr>
          <w:rFonts w:ascii="Arial" w:hAnsi="Arial" w:cs="Arial"/>
          <w:sz w:val="20"/>
          <w:szCs w:val="20"/>
          <w:lang w:val="fr-BE"/>
        </w:rPr>
        <w:t xml:space="preserve"> ; </w:t>
      </w:r>
    </w:p>
    <w:p w:rsidR="0088727F" w:rsidRPr="0088727F" w:rsidRDefault="00A05B5C" w:rsidP="0088727F">
      <w:pPr>
        <w:pStyle w:val="ListParagraph"/>
        <w:numPr>
          <w:ilvl w:val="0"/>
          <w:numId w:val="41"/>
        </w:numPr>
        <w:spacing w:before="120" w:after="200" w:line="276" w:lineRule="auto"/>
        <w:rPr>
          <w:rFonts w:ascii="Arial" w:hAnsi="Arial" w:cs="Arial"/>
          <w:sz w:val="20"/>
          <w:szCs w:val="20"/>
          <w:lang w:val="fr-BE"/>
        </w:rPr>
      </w:pPr>
      <w:r w:rsidRPr="0088727F">
        <w:rPr>
          <w:rFonts w:ascii="Arial" w:hAnsi="Arial" w:cs="Arial"/>
          <w:sz w:val="20"/>
          <w:szCs w:val="20"/>
          <w:lang w:val="fr-BE"/>
        </w:rPr>
        <w:t>D’appuyer une évacuation ou un rapatriement civil de ressortissants belges depuis une zone de danger (éventuellement en raison de dangers pour la sécurité ou de risques sanitaires à la suite d’une pandémie ou d’une catastrophe naturelle)</w:t>
      </w:r>
      <w:r w:rsidR="0088727F" w:rsidRPr="0088727F">
        <w:rPr>
          <w:rFonts w:ascii="Arial" w:hAnsi="Arial" w:cs="Arial"/>
          <w:sz w:val="20"/>
          <w:szCs w:val="20"/>
          <w:lang w:val="fr-BE"/>
        </w:rPr>
        <w:t xml:space="preserve"> ; </w:t>
      </w:r>
    </w:p>
    <w:p w:rsidR="00A05B5C" w:rsidRDefault="00A05B5C" w:rsidP="0088727F">
      <w:pPr>
        <w:pStyle w:val="ListParagraph"/>
        <w:numPr>
          <w:ilvl w:val="0"/>
          <w:numId w:val="41"/>
        </w:numPr>
        <w:spacing w:before="120" w:after="200" w:line="276" w:lineRule="auto"/>
        <w:rPr>
          <w:rFonts w:ascii="Arial" w:hAnsi="Arial" w:cs="Arial"/>
          <w:sz w:val="20"/>
          <w:szCs w:val="20"/>
          <w:lang w:val="fr-BE"/>
        </w:rPr>
      </w:pPr>
      <w:r w:rsidRPr="0088727F">
        <w:rPr>
          <w:rFonts w:ascii="Arial" w:hAnsi="Arial" w:cs="Arial"/>
          <w:sz w:val="20"/>
          <w:szCs w:val="20"/>
          <w:lang w:val="fr-BE"/>
        </w:rPr>
        <w:t xml:space="preserve">D’exécuter une évacuation militaire de ressortissants et ayants-droit belges. </w:t>
      </w:r>
    </w:p>
    <w:p w:rsidR="0018617C" w:rsidRPr="0018617C" w:rsidRDefault="0018617C" w:rsidP="0018617C">
      <w:pPr>
        <w:spacing w:before="120"/>
        <w:ind w:left="360"/>
        <w:rPr>
          <w:rFonts w:cs="Arial"/>
          <w:lang w:val="fr-BE"/>
        </w:rPr>
      </w:pPr>
    </w:p>
    <w:p w:rsidR="00BB25F0" w:rsidRDefault="00BB25F0" w:rsidP="006241E6">
      <w:pPr>
        <w:jc w:val="center"/>
        <w:rPr>
          <w:rFonts w:cs="Arial"/>
          <w:b/>
          <w:highlight w:val="yellow"/>
          <w:lang w:val="fr-BE"/>
        </w:rPr>
      </w:pPr>
      <w:r w:rsidRPr="0018617C">
        <w:rPr>
          <w:rFonts w:cs="Arial"/>
          <w:b/>
          <w:highlight w:val="yellow"/>
          <w:lang w:val="fr-BE"/>
        </w:rPr>
        <w:lastRenderedPageBreak/>
        <w:t>Notez que</w:t>
      </w:r>
      <w:r w:rsidR="00695990">
        <w:rPr>
          <w:rFonts w:cs="Arial"/>
          <w:b/>
          <w:highlight w:val="yellow"/>
          <w:lang w:val="fr-BE"/>
        </w:rPr>
        <w:t>,</w:t>
      </w:r>
      <w:r w:rsidRPr="0018617C">
        <w:rPr>
          <w:rFonts w:cs="Arial"/>
          <w:b/>
          <w:highlight w:val="yellow"/>
          <w:lang w:val="fr-BE"/>
        </w:rPr>
        <w:t xml:space="preserve"> </w:t>
      </w:r>
      <w:r w:rsidR="00EB7469" w:rsidRPr="0018617C">
        <w:rPr>
          <w:rFonts w:cs="Arial"/>
          <w:b/>
          <w:highlight w:val="yellow"/>
          <w:lang w:val="fr-BE"/>
        </w:rPr>
        <w:t xml:space="preserve">le </w:t>
      </w:r>
      <w:r w:rsidR="00A05B5C" w:rsidRPr="0018617C">
        <w:rPr>
          <w:rFonts w:cs="Arial"/>
          <w:b/>
          <w:highlight w:val="yellow"/>
          <w:lang w:val="fr-BE"/>
        </w:rPr>
        <w:t>23 novembre</w:t>
      </w:r>
      <w:r w:rsidRPr="0018617C">
        <w:rPr>
          <w:rFonts w:cs="Arial"/>
          <w:b/>
          <w:highlight w:val="yellow"/>
          <w:lang w:val="fr-BE"/>
        </w:rPr>
        <w:t xml:space="preserve">, </w:t>
      </w:r>
      <w:r w:rsidR="00EB7469" w:rsidRPr="0018617C">
        <w:rPr>
          <w:rFonts w:cs="Arial"/>
          <w:b/>
          <w:highlight w:val="yellow"/>
          <w:lang w:val="fr-BE"/>
        </w:rPr>
        <w:t>la Défense organise u</w:t>
      </w:r>
      <w:r w:rsidRPr="0018617C">
        <w:rPr>
          <w:rFonts w:cs="Arial"/>
          <w:b/>
          <w:highlight w:val="yellow"/>
          <w:lang w:val="fr-BE"/>
        </w:rPr>
        <w:t>n point</w:t>
      </w:r>
      <w:r w:rsidR="00EB7469" w:rsidRPr="0018617C">
        <w:rPr>
          <w:rFonts w:cs="Arial"/>
          <w:b/>
          <w:highlight w:val="yellow"/>
          <w:lang w:val="fr-BE"/>
        </w:rPr>
        <w:t xml:space="preserve"> </w:t>
      </w:r>
      <w:r w:rsidRPr="0018617C">
        <w:rPr>
          <w:rFonts w:cs="Arial"/>
          <w:b/>
          <w:highlight w:val="yellow"/>
          <w:lang w:val="fr-BE"/>
        </w:rPr>
        <w:t>presse dans lequel le dossier opérations 201</w:t>
      </w:r>
      <w:r w:rsidR="00EB7469" w:rsidRPr="0018617C">
        <w:rPr>
          <w:rFonts w:cs="Arial"/>
          <w:b/>
          <w:highlight w:val="yellow"/>
          <w:lang w:val="fr-BE"/>
        </w:rPr>
        <w:t>8</w:t>
      </w:r>
      <w:r w:rsidRPr="0018617C">
        <w:rPr>
          <w:rFonts w:cs="Arial"/>
          <w:b/>
          <w:highlight w:val="yellow"/>
          <w:lang w:val="fr-BE"/>
        </w:rPr>
        <w:t xml:space="preserve"> sera présenté en détails.</w:t>
      </w:r>
    </w:p>
    <w:p w:rsidR="0018617C" w:rsidRDefault="0018617C" w:rsidP="006241E6">
      <w:pPr>
        <w:jc w:val="center"/>
        <w:rPr>
          <w:rFonts w:cs="Arial"/>
          <w:b/>
          <w:lang w:val="fr-BE"/>
        </w:rPr>
      </w:pPr>
    </w:p>
    <w:p w:rsidR="0018617C" w:rsidRPr="0018617C" w:rsidRDefault="0018617C" w:rsidP="006241E6">
      <w:pPr>
        <w:jc w:val="center"/>
        <w:rPr>
          <w:rFonts w:cs="Arial"/>
          <w:b/>
          <w:lang w:val="fr-BE"/>
        </w:rPr>
      </w:pPr>
    </w:p>
    <w:p w:rsidR="00E80C03" w:rsidRPr="00BB25F0" w:rsidRDefault="00E80C03" w:rsidP="006241E6">
      <w:pPr>
        <w:jc w:val="center"/>
        <w:rPr>
          <w:rFonts w:cs="Arial"/>
          <w:b/>
          <w:color w:val="auto"/>
          <w:u w:val="single"/>
          <w:lang w:val="fr-BE"/>
        </w:rPr>
      </w:pPr>
      <w:r w:rsidRPr="00BB25F0">
        <w:rPr>
          <w:rFonts w:cs="Arial"/>
          <w:b/>
          <w:color w:val="auto"/>
          <w:u w:val="single"/>
          <w:lang w:val="fr-BE"/>
        </w:rPr>
        <w:t>Besoin de plus d’informations ?</w:t>
      </w:r>
    </w:p>
    <w:tbl>
      <w:tblPr>
        <w:tblStyle w:val="TableGrid"/>
        <w:tblW w:w="0" w:type="auto"/>
        <w:tblInd w:w="2386" w:type="dxa"/>
        <w:tblLook w:val="04A0" w:firstRow="1" w:lastRow="0" w:firstColumn="1" w:lastColumn="0" w:noHBand="0" w:noVBand="1"/>
      </w:tblPr>
      <w:tblGrid>
        <w:gridCol w:w="4809"/>
      </w:tblGrid>
      <w:tr w:rsidR="00BB25F0" w:rsidRPr="00FE3E22" w:rsidTr="00BB25F0">
        <w:trPr>
          <w:trHeight w:val="920"/>
        </w:trPr>
        <w:tc>
          <w:tcPr>
            <w:tcW w:w="480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BB25F0" w:rsidRPr="00BB25F0" w:rsidRDefault="00BB25F0" w:rsidP="0018617C">
            <w:pPr>
              <w:spacing w:before="120" w:line="240" w:lineRule="auto"/>
              <w:jc w:val="center"/>
              <w:rPr>
                <w:rFonts w:cs="Arial"/>
                <w:lang w:val="fr-BE"/>
              </w:rPr>
            </w:pPr>
            <w:r w:rsidRPr="00BB25F0">
              <w:rPr>
                <w:rFonts w:cs="Arial"/>
                <w:lang w:val="fr-BE"/>
              </w:rPr>
              <w:t>Laurence MORTIER – Porte-parole</w:t>
            </w:r>
          </w:p>
          <w:p w:rsidR="00BB25F0" w:rsidRPr="00BB25F0" w:rsidRDefault="00BB25F0" w:rsidP="0018617C">
            <w:pPr>
              <w:spacing w:before="120" w:line="240" w:lineRule="auto"/>
              <w:jc w:val="center"/>
              <w:rPr>
                <w:rFonts w:cs="Arial"/>
                <w:lang w:val="fr-BE"/>
              </w:rPr>
            </w:pPr>
            <w:r w:rsidRPr="00BB25F0">
              <w:rPr>
                <w:rFonts w:cs="Arial"/>
                <w:lang w:val="fr-BE"/>
              </w:rPr>
              <w:t>M : +32 (0)477 96 26 82</w:t>
            </w:r>
          </w:p>
          <w:p w:rsidR="00BB25F0" w:rsidRDefault="00F1192E" w:rsidP="0018617C">
            <w:pPr>
              <w:spacing w:before="120" w:line="240" w:lineRule="auto"/>
              <w:jc w:val="center"/>
              <w:rPr>
                <w:rStyle w:val="Hyperlink"/>
                <w:rFonts w:cs="Arial"/>
                <w:lang w:val="fr-BE"/>
              </w:rPr>
            </w:pPr>
            <w:hyperlink r:id="rId8" w:history="1">
              <w:r w:rsidR="00BB25F0" w:rsidRPr="00BB25F0">
                <w:rPr>
                  <w:rStyle w:val="Hyperlink"/>
                  <w:rFonts w:cs="Arial"/>
                  <w:lang w:val="fr-BE"/>
                </w:rPr>
                <w:t>laurence.mortier@vandeput.fgov.be</w:t>
              </w:r>
            </w:hyperlink>
          </w:p>
          <w:p w:rsidR="00FE3E22" w:rsidRPr="00FE3E22" w:rsidRDefault="00FE3E22" w:rsidP="00FE3E22">
            <w:pPr>
              <w:spacing w:before="120" w:line="240" w:lineRule="auto"/>
              <w:jc w:val="center"/>
              <w:rPr>
                <w:rFonts w:cs="Arial"/>
                <w:lang w:val="fr-BE"/>
              </w:rPr>
            </w:pPr>
            <w:r w:rsidRPr="00FE3E22">
              <w:rPr>
                <w:rFonts w:cs="Arial"/>
                <w:lang w:val="fr-BE"/>
              </w:rPr>
              <w:t>Béatrice Collin – Adjunct woordvoerder</w:t>
            </w:r>
          </w:p>
          <w:p w:rsidR="00FE3E22" w:rsidRPr="00FE3E22" w:rsidRDefault="00FE3E22" w:rsidP="00FE3E22">
            <w:pPr>
              <w:spacing w:before="120" w:line="240" w:lineRule="auto"/>
              <w:jc w:val="center"/>
              <w:rPr>
                <w:rFonts w:cs="Arial"/>
                <w:lang w:val="fr-BE"/>
              </w:rPr>
            </w:pPr>
            <w:r>
              <w:rPr>
                <w:rFonts w:cs="Arial"/>
                <w:lang w:val="fr-BE"/>
              </w:rPr>
              <w:t>M</w:t>
            </w:r>
            <w:r w:rsidRPr="00FE3E22">
              <w:rPr>
                <w:rFonts w:cs="Arial"/>
                <w:lang w:val="fr-BE"/>
              </w:rPr>
              <w:t xml:space="preserve"> : </w:t>
            </w:r>
            <w:r>
              <w:rPr>
                <w:rFonts w:cs="Arial"/>
                <w:lang w:val="fr-BE"/>
              </w:rPr>
              <w:t>+32 (</w:t>
            </w:r>
            <w:r w:rsidRPr="00FE3E22">
              <w:rPr>
                <w:rFonts w:cs="Arial"/>
                <w:lang w:val="fr-BE"/>
              </w:rPr>
              <w:t>0</w:t>
            </w:r>
            <w:r>
              <w:rPr>
                <w:rFonts w:cs="Arial"/>
                <w:lang w:val="fr-BE"/>
              </w:rPr>
              <w:t>)</w:t>
            </w:r>
            <w:r w:rsidRPr="00FE3E22">
              <w:rPr>
                <w:rFonts w:cs="Arial"/>
                <w:lang w:val="fr-BE"/>
              </w:rPr>
              <w:t>472</w:t>
            </w:r>
            <w:r>
              <w:rPr>
                <w:rFonts w:cs="Arial"/>
                <w:lang w:val="fr-BE"/>
              </w:rPr>
              <w:t xml:space="preserve"> </w:t>
            </w:r>
            <w:r w:rsidRPr="00FE3E22">
              <w:rPr>
                <w:rFonts w:cs="Arial"/>
                <w:lang w:val="fr-BE"/>
              </w:rPr>
              <w:t>96</w:t>
            </w:r>
            <w:r>
              <w:rPr>
                <w:rFonts w:cs="Arial"/>
                <w:lang w:val="fr-BE"/>
              </w:rPr>
              <w:t xml:space="preserve"> </w:t>
            </w:r>
            <w:r w:rsidRPr="00FE3E22">
              <w:rPr>
                <w:rFonts w:cs="Arial"/>
                <w:lang w:val="fr-BE"/>
              </w:rPr>
              <w:t>00</w:t>
            </w:r>
            <w:r>
              <w:rPr>
                <w:rFonts w:cs="Arial"/>
                <w:lang w:val="fr-BE"/>
              </w:rPr>
              <w:t xml:space="preserve"> </w:t>
            </w:r>
            <w:r w:rsidRPr="00FE3E22">
              <w:rPr>
                <w:rFonts w:cs="Arial"/>
                <w:lang w:val="fr-BE"/>
              </w:rPr>
              <w:t>27</w:t>
            </w:r>
          </w:p>
          <w:p w:rsidR="00FE3E22" w:rsidRPr="00BB25F0" w:rsidRDefault="00F1192E" w:rsidP="00FE3E22">
            <w:pPr>
              <w:spacing w:before="120" w:line="240" w:lineRule="auto"/>
              <w:jc w:val="center"/>
              <w:rPr>
                <w:rFonts w:cs="Arial"/>
                <w:lang w:val="fr-BE"/>
              </w:rPr>
            </w:pPr>
            <w:hyperlink r:id="rId9" w:history="1">
              <w:r w:rsidR="00FE3E22" w:rsidRPr="00FE3E22">
                <w:rPr>
                  <w:rStyle w:val="Hyperlink"/>
                  <w:rFonts w:cs="Arial"/>
                  <w:lang w:val="fr-BE"/>
                </w:rPr>
                <w:t>Beatrice.collin@vandeput.fgov.be</w:t>
              </w:r>
            </w:hyperlink>
          </w:p>
        </w:tc>
      </w:tr>
    </w:tbl>
    <w:p w:rsidR="001E5BA3" w:rsidRPr="00BB25F0" w:rsidRDefault="001E5BA3" w:rsidP="006241E6">
      <w:pPr>
        <w:pStyle w:val="Date"/>
        <w:spacing w:after="200"/>
        <w:rPr>
          <w:rFonts w:cs="Arial"/>
          <w:lang w:val="fr-BE"/>
        </w:rPr>
      </w:pPr>
    </w:p>
    <w:sectPr w:rsidR="001E5BA3" w:rsidRPr="00BB25F0" w:rsidSect="00AB56EB">
      <w:footerReference w:type="default" r:id="rId10"/>
      <w:headerReference w:type="first" r:id="rId11"/>
      <w:footerReference w:type="first" r:id="rId12"/>
      <w:pgSz w:w="11900" w:h="16820" w:code="1"/>
      <w:pgMar w:top="2127" w:right="1127" w:bottom="1440" w:left="1134" w:header="993" w:footer="3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6B" w:rsidRDefault="00FA7B6B" w:rsidP="00873242">
      <w:pPr>
        <w:spacing w:after="0" w:line="240" w:lineRule="auto"/>
      </w:pPr>
      <w:r>
        <w:separator/>
      </w:r>
    </w:p>
  </w:endnote>
  <w:endnote w:type="continuationSeparator" w:id="0">
    <w:p w:rsidR="00FA7B6B" w:rsidRDefault="00FA7B6B" w:rsidP="0087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Std Light Cond">
    <w:altName w:val="Franklin Gothic Medium Cond"/>
    <w:charset w:val="00"/>
    <w:family w:val="auto"/>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17C" w:rsidRPr="00160F7F" w:rsidRDefault="00F1192E" w:rsidP="0018617C">
    <w:pPr>
      <w:pStyle w:val="FormText"/>
      <w:spacing w:line="240" w:lineRule="auto"/>
      <w:jc w:val="center"/>
      <w:rPr>
        <w:rFonts w:ascii="Arial MT Std Light Cond" w:hAnsi="Arial MT Std Light Cond"/>
        <w:b/>
        <w:color w:val="2A3539"/>
        <w:sz w:val="22"/>
        <w:szCs w:val="22"/>
        <w:lang w:val="fr-BE"/>
      </w:rPr>
    </w:pPr>
    <w:sdt>
      <w:sdtPr>
        <w:id w:val="-1334068889"/>
        <w:docPartObj>
          <w:docPartGallery w:val="Page Numbers (Bottom of Page)"/>
          <w:docPartUnique/>
        </w:docPartObj>
      </w:sdtPr>
      <w:sdtEndPr/>
      <w:sdtContent>
        <w:r w:rsidR="00751E29">
          <w:rPr>
            <w:noProof/>
            <w:lang w:val="nl-BE" w:eastAsia="nl-BE"/>
          </w:rPr>
          <mc:AlternateContent>
            <mc:Choice Requires="wps">
              <w:drawing>
                <wp:anchor distT="0" distB="0" distL="114300" distR="114300" simplePos="0" relativeHeight="251659264" behindDoc="0" locked="0" layoutInCell="0" allowOverlap="1" wp14:anchorId="05D53B18" wp14:editId="25F2DD21">
                  <wp:simplePos x="0" y="0"/>
                  <wp:positionH relativeFrom="rightMargin">
                    <wp:align>left</wp:align>
                  </wp:positionH>
                  <mc:AlternateContent>
                    <mc:Choice Requires="wp14">
                      <wp:positionV relativeFrom="bottomMargin">
                        <wp14:pctPosVOffset>7000</wp14:pctPosVOffset>
                      </wp:positionV>
                    </mc:Choice>
                    <mc:Fallback>
                      <wp:positionV relativeFrom="page">
                        <wp:posOffset>9829800</wp:posOffset>
                      </wp:positionV>
                    </mc:Fallback>
                  </mc:AlternateContent>
                  <wp:extent cx="368300" cy="274320"/>
                  <wp:effectExtent l="9525" t="9525" r="12700" b="1143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751E29" w:rsidRDefault="00751E29">
                              <w:pPr>
                                <w:jc w:val="center"/>
                              </w:pPr>
                              <w:r>
                                <w:rPr>
                                  <w:sz w:val="22"/>
                                  <w:szCs w:val="22"/>
                                </w:rPr>
                                <w:fldChar w:fldCharType="begin"/>
                              </w:r>
                              <w:r>
                                <w:instrText>PAGE    \* MERGEFORMAT</w:instrText>
                              </w:r>
                              <w:r>
                                <w:rPr>
                                  <w:sz w:val="22"/>
                                  <w:szCs w:val="22"/>
                                </w:rPr>
                                <w:fldChar w:fldCharType="separate"/>
                              </w:r>
                              <w:r w:rsidR="00F1192E" w:rsidRPr="00F1192E">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53B1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left:0;text-align:left;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ApSAIAAH4EAAAOAAAAZHJzL2Uyb0RvYy54bWysVF2O0zAQfkfiDpbf2fR/S9R0teqyCGmB&#10;FQsHcG2nMTgeM3abLqfhlWvAxZg4aWmBJ0QiuTMZz+eZ7/N0cbWvLdtpDAZcwYcXA860k6CM2xT8&#10;w/vbZ3POQhROCQtOF/xRB361fPpk0fhcj6ACqzQyAnEhb3zBqxh9nmVBVroW4QK8dhQsAWsRycVN&#10;plA0hF7bbDQYzLIGUHkEqUOgrzddkC8TfllqGd+WZdCR2YJTbTGtmNZ1u2bLhcg3KHxlZF+G+Icq&#10;amEcHXqEuhFRsC2aP6BqIxEClPFCQp1BWRqpUw/UzXDwWzcPlfA69ULkBH+kKfw/WPlmd4/MqIKP&#10;OHOiJoneEWnCbaz+/jVnUiD++MYkoKOfUctX40NOaQ/+HtuOg78D+SkwB6uK0vQ1IjSVFoqqHLb7&#10;s7OE1gmUytbNa1B0nNhGSNTtS6xbQCKF7ZNCj0eF9D4ySR/Hs/l4QDpKCo0uJ+NRUjAT+SHZY4gv&#10;NdSsNQpetvdLrah6jekQsbsLMQml+naF+shZWVuSfScsG0+mswNov5ngD7CpYbBG3Rprk4Ob9coi&#10;o9SC36Yn9Uy8nG6zjjVU/fBymqo4i4VTiPmgff8GgbB1Kl3XltwXvR2FsZ1NVVrXs90S3AkV9+t9&#10;r9ka1CPxjtANAQ0tGRXgF84aGoCCh89bgZoz+8qRds+Hk0k7McmZTC+JaoankfVpRDhJUAWPnHXm&#10;KnZTtvVoNhWdNEydO7gmvUsTDxejq6qvmy45WWdTdOqnXb/+Np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BflTApSAIAAH4E&#10;AAAOAAAAAAAAAAAAAAAAAC4CAABkcnMvZTJvRG9jLnhtbFBLAQItABQABgAIAAAAIQB1vJVG2QAA&#10;AAMBAAAPAAAAAAAAAAAAAAAAAKIEAABkcnMvZG93bnJldi54bWxQSwUGAAAAAAQABADzAAAAqAUA&#10;AAAA&#10;" o:allowincell="f" adj="14135" strokecolor="gray" strokeweight=".25pt">
                  <v:textbox>
                    <w:txbxContent>
                      <w:p w:rsidR="00751E29" w:rsidRDefault="00751E29">
                        <w:pPr>
                          <w:jc w:val="center"/>
                        </w:pPr>
                        <w:r>
                          <w:rPr>
                            <w:sz w:val="22"/>
                            <w:szCs w:val="22"/>
                          </w:rPr>
                          <w:fldChar w:fldCharType="begin"/>
                        </w:r>
                        <w:r>
                          <w:instrText>PAGE    \* MERGEFORMAT</w:instrText>
                        </w:r>
                        <w:r>
                          <w:rPr>
                            <w:sz w:val="22"/>
                            <w:szCs w:val="22"/>
                          </w:rPr>
                          <w:fldChar w:fldCharType="separate"/>
                        </w:r>
                        <w:r w:rsidR="00F1192E" w:rsidRPr="00F1192E">
                          <w:rPr>
                            <w:noProof/>
                            <w:sz w:val="16"/>
                            <w:szCs w:val="16"/>
                            <w:lang w:val="fr-FR"/>
                          </w:rPr>
                          <w:t>2</w:t>
                        </w:r>
                        <w:r>
                          <w:rPr>
                            <w:sz w:val="16"/>
                            <w:szCs w:val="16"/>
                          </w:rPr>
                          <w:fldChar w:fldCharType="end"/>
                        </w:r>
                      </w:p>
                    </w:txbxContent>
                  </v:textbox>
                  <w10:wrap anchorx="margin" anchory="margin"/>
                </v:shape>
              </w:pict>
            </mc:Fallback>
          </mc:AlternateContent>
        </w:r>
      </w:sdtContent>
    </w:sdt>
    <w:r w:rsidR="0018617C" w:rsidRPr="0018617C">
      <w:rPr>
        <w:rFonts w:ascii="Arial MT Std Light Cond" w:hAnsi="Arial MT Std Light Cond"/>
        <w:b/>
        <w:color w:val="2A3539"/>
        <w:sz w:val="22"/>
        <w:szCs w:val="22"/>
        <w:lang w:val="fr-BE"/>
      </w:rPr>
      <w:t xml:space="preserve"> </w:t>
    </w:r>
    <w:r w:rsidR="0018617C" w:rsidRPr="00160F7F">
      <w:rPr>
        <w:rFonts w:ascii="Arial MT Std Light Cond" w:hAnsi="Arial MT Std Light Cond"/>
        <w:b/>
        <w:color w:val="2A3539"/>
        <w:sz w:val="22"/>
        <w:szCs w:val="22"/>
        <w:lang w:val="fr-BE"/>
      </w:rPr>
      <w:t xml:space="preserve">Cabinet de </w:t>
    </w:r>
    <w:r w:rsidR="0018617C" w:rsidRPr="00160F7F">
      <w:rPr>
        <w:rFonts w:ascii="Arial MT Std Light Cond" w:hAnsi="Arial MT Std Light Cond"/>
        <w:b/>
        <w:color w:val="5D757F"/>
        <w:sz w:val="22"/>
        <w:szCs w:val="22"/>
        <w:lang w:val="fr-BE"/>
      </w:rPr>
      <w:t>la Défense</w:t>
    </w:r>
    <w:r w:rsidR="0018617C" w:rsidRPr="00160F7F">
      <w:rPr>
        <w:rFonts w:ascii="Arial MT Std Light Cond" w:hAnsi="Arial MT Std Light Cond"/>
        <w:b/>
        <w:color w:val="2A3539"/>
        <w:sz w:val="22"/>
        <w:szCs w:val="22"/>
        <w:lang w:val="fr-BE"/>
      </w:rPr>
      <w:t xml:space="preserve"> et de </w:t>
    </w:r>
    <w:r w:rsidR="0018617C" w:rsidRPr="00160F7F">
      <w:rPr>
        <w:rFonts w:ascii="Arial MT Std Light Cond" w:hAnsi="Arial MT Std Light Cond"/>
        <w:b/>
        <w:color w:val="7795A1"/>
        <w:sz w:val="22"/>
        <w:szCs w:val="22"/>
        <w:lang w:val="fr-BE"/>
      </w:rPr>
      <w:t>la Fonction Publique</w:t>
    </w:r>
  </w:p>
  <w:p w:rsidR="0018617C" w:rsidRPr="00160F7F" w:rsidRDefault="0018617C" w:rsidP="0018617C">
    <w:pPr>
      <w:pStyle w:val="FormText"/>
      <w:spacing w:line="240" w:lineRule="auto"/>
      <w:jc w:val="center"/>
      <w:rPr>
        <w:rFonts w:ascii="Arial MT Std Light Cond" w:hAnsi="Arial MT Std Light Cond"/>
        <w:color w:val="2A3539"/>
        <w:sz w:val="22"/>
        <w:szCs w:val="22"/>
        <w:lang w:val="fr-BE"/>
      </w:rPr>
    </w:pPr>
    <w:r w:rsidRPr="00160F7F">
      <w:rPr>
        <w:rFonts w:ascii="Arial MT Std Light Cond" w:hAnsi="Arial MT Std Light Cond"/>
        <w:color w:val="2A3539"/>
        <w:sz w:val="22"/>
        <w:szCs w:val="22"/>
        <w:lang w:val="fr-BE"/>
      </w:rPr>
      <w:t>8 Rue Lambermont – 1000 Bruxelles</w:t>
    </w:r>
  </w:p>
  <w:p w:rsidR="0018617C" w:rsidRPr="00160F7F" w:rsidRDefault="0018617C" w:rsidP="0018617C">
    <w:pPr>
      <w:pStyle w:val="FormText"/>
      <w:spacing w:line="240" w:lineRule="auto"/>
      <w:jc w:val="center"/>
      <w:rPr>
        <w:rFonts w:ascii="Arial MT Std Light Cond" w:hAnsi="Arial MT Std Light Cond"/>
        <w:color w:val="2A3539"/>
        <w:sz w:val="22"/>
        <w:szCs w:val="22"/>
        <w:lang w:val="fr-BE"/>
      </w:rPr>
    </w:pPr>
    <w:r w:rsidRPr="00160F7F">
      <w:rPr>
        <w:rFonts w:ascii="Arial MT Std Light Cond" w:hAnsi="Arial MT Std Light Cond"/>
        <w:color w:val="2A3539"/>
        <w:sz w:val="22"/>
        <w:szCs w:val="22"/>
        <w:lang w:val="fr-BE"/>
      </w:rPr>
      <w:t>info@vandeput.fgov.be - www.vandeput.fgov.be</w:t>
    </w:r>
  </w:p>
  <w:p w:rsidR="0018617C" w:rsidRPr="00AB56EB" w:rsidRDefault="0018617C" w:rsidP="0018617C">
    <w:pPr>
      <w:pStyle w:val="FormText"/>
      <w:spacing w:line="240" w:lineRule="auto"/>
      <w:jc w:val="center"/>
    </w:pPr>
    <w:r w:rsidRPr="00AB56EB">
      <w:rPr>
        <w:rFonts w:ascii="Arial MT Std Light Cond" w:hAnsi="Arial MT Std Light Cond"/>
        <w:color w:val="2A3539"/>
        <w:sz w:val="22"/>
        <w:szCs w:val="22"/>
      </w:rPr>
      <w:t>T.</w:t>
    </w:r>
    <w:r>
      <w:rPr>
        <w:rFonts w:ascii="Arial MT Std Light Cond" w:hAnsi="Arial MT Std Light Cond"/>
        <w:color w:val="2A3539"/>
        <w:sz w:val="22"/>
        <w:szCs w:val="22"/>
      </w:rPr>
      <w:t xml:space="preserve"> +32 (0)2 44 1</w:t>
    </w:r>
    <w:r w:rsidRPr="00AB56EB">
      <w:rPr>
        <w:rFonts w:ascii="Arial MT Std Light Cond" w:hAnsi="Arial MT Std Light Cond"/>
        <w:color w:val="2A3539"/>
        <w:sz w:val="22"/>
        <w:szCs w:val="22"/>
      </w:rPr>
      <w:t>5</w:t>
    </w:r>
    <w:r>
      <w:rPr>
        <w:rFonts w:ascii="Arial MT Std Light Cond" w:hAnsi="Arial MT Std Light Cond"/>
        <w:color w:val="2A3539"/>
        <w:sz w:val="22"/>
        <w:szCs w:val="22"/>
      </w:rPr>
      <w:t xml:space="preserve"> 200</w:t>
    </w:r>
  </w:p>
  <w:p w:rsidR="006241E6" w:rsidRDefault="006241E6" w:rsidP="0018617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B1D" w:rsidRPr="00160F7F" w:rsidRDefault="00711B1D" w:rsidP="00E80C03">
    <w:pPr>
      <w:pStyle w:val="FormText"/>
      <w:spacing w:line="240" w:lineRule="auto"/>
      <w:jc w:val="center"/>
      <w:rPr>
        <w:rFonts w:ascii="Arial MT Std Light Cond" w:hAnsi="Arial MT Std Light Cond"/>
        <w:b/>
        <w:color w:val="2A3539"/>
        <w:sz w:val="22"/>
        <w:szCs w:val="22"/>
        <w:lang w:val="fr-BE"/>
      </w:rPr>
    </w:pPr>
    <w:bookmarkStart w:id="1" w:name="_Hlk497990385"/>
    <w:bookmarkStart w:id="2" w:name="_Hlk497990386"/>
    <w:r w:rsidRPr="00160F7F">
      <w:rPr>
        <w:rFonts w:ascii="Arial MT Std Light Cond" w:hAnsi="Arial MT Std Light Cond"/>
        <w:b/>
        <w:color w:val="2A3539"/>
        <w:sz w:val="22"/>
        <w:szCs w:val="22"/>
        <w:lang w:val="fr-BE"/>
      </w:rPr>
      <w:t xml:space="preserve">Cabinet de </w:t>
    </w:r>
    <w:r w:rsidRPr="00160F7F">
      <w:rPr>
        <w:rFonts w:ascii="Arial MT Std Light Cond" w:hAnsi="Arial MT Std Light Cond"/>
        <w:b/>
        <w:color w:val="5D757F"/>
        <w:sz w:val="22"/>
        <w:szCs w:val="22"/>
        <w:lang w:val="fr-BE"/>
      </w:rPr>
      <w:t>la Défense</w:t>
    </w:r>
    <w:r w:rsidRPr="00160F7F">
      <w:rPr>
        <w:rFonts w:ascii="Arial MT Std Light Cond" w:hAnsi="Arial MT Std Light Cond"/>
        <w:b/>
        <w:color w:val="2A3539"/>
        <w:sz w:val="22"/>
        <w:szCs w:val="22"/>
        <w:lang w:val="fr-BE"/>
      </w:rPr>
      <w:t xml:space="preserve"> et de </w:t>
    </w:r>
    <w:r w:rsidRPr="00160F7F">
      <w:rPr>
        <w:rFonts w:ascii="Arial MT Std Light Cond" w:hAnsi="Arial MT Std Light Cond"/>
        <w:b/>
        <w:color w:val="7795A1"/>
        <w:sz w:val="22"/>
        <w:szCs w:val="22"/>
        <w:lang w:val="fr-BE"/>
      </w:rPr>
      <w:t>la Fonction Publique</w:t>
    </w:r>
  </w:p>
  <w:p w:rsidR="00711B1D" w:rsidRPr="00160F7F" w:rsidRDefault="00711B1D" w:rsidP="00E80C03">
    <w:pPr>
      <w:pStyle w:val="FormText"/>
      <w:spacing w:line="240" w:lineRule="auto"/>
      <w:jc w:val="center"/>
      <w:rPr>
        <w:rFonts w:ascii="Arial MT Std Light Cond" w:hAnsi="Arial MT Std Light Cond"/>
        <w:color w:val="2A3539"/>
        <w:sz w:val="22"/>
        <w:szCs w:val="22"/>
        <w:lang w:val="fr-BE"/>
      </w:rPr>
    </w:pPr>
    <w:r w:rsidRPr="00160F7F">
      <w:rPr>
        <w:rFonts w:ascii="Arial MT Std Light Cond" w:hAnsi="Arial MT Std Light Cond"/>
        <w:color w:val="2A3539"/>
        <w:sz w:val="22"/>
        <w:szCs w:val="22"/>
        <w:lang w:val="fr-BE"/>
      </w:rPr>
      <w:t>8 Rue Lambermont – 1000 Bruxelles</w:t>
    </w:r>
  </w:p>
  <w:p w:rsidR="00711B1D" w:rsidRPr="00160F7F" w:rsidRDefault="00711B1D" w:rsidP="00E80C03">
    <w:pPr>
      <w:pStyle w:val="FormText"/>
      <w:spacing w:line="240" w:lineRule="auto"/>
      <w:jc w:val="center"/>
      <w:rPr>
        <w:rFonts w:ascii="Arial MT Std Light Cond" w:hAnsi="Arial MT Std Light Cond"/>
        <w:color w:val="2A3539"/>
        <w:sz w:val="22"/>
        <w:szCs w:val="22"/>
        <w:lang w:val="fr-BE"/>
      </w:rPr>
    </w:pPr>
    <w:r w:rsidRPr="00160F7F">
      <w:rPr>
        <w:rFonts w:ascii="Arial MT Std Light Cond" w:hAnsi="Arial MT Std Light Cond"/>
        <w:color w:val="2A3539"/>
        <w:sz w:val="22"/>
        <w:szCs w:val="22"/>
        <w:lang w:val="fr-BE"/>
      </w:rPr>
      <w:t>info@vandeput.fgov.be - www.vandeput.fgov.be</w:t>
    </w:r>
  </w:p>
  <w:p w:rsidR="00711B1D" w:rsidRPr="00AB56EB" w:rsidRDefault="00711B1D" w:rsidP="00ED40CA">
    <w:pPr>
      <w:pStyle w:val="FormText"/>
      <w:spacing w:line="240" w:lineRule="auto"/>
      <w:jc w:val="center"/>
    </w:pPr>
    <w:r w:rsidRPr="00AB56EB">
      <w:rPr>
        <w:rFonts w:ascii="Arial MT Std Light Cond" w:hAnsi="Arial MT Std Light Cond"/>
        <w:color w:val="2A3539"/>
        <w:sz w:val="22"/>
        <w:szCs w:val="22"/>
      </w:rPr>
      <w:t>T.</w:t>
    </w:r>
    <w:r w:rsidR="00E0577A">
      <w:rPr>
        <w:rFonts w:ascii="Arial MT Std Light Cond" w:hAnsi="Arial MT Std Light Cond"/>
        <w:color w:val="2A3539"/>
        <w:sz w:val="22"/>
        <w:szCs w:val="22"/>
      </w:rPr>
      <w:t xml:space="preserve"> +</w:t>
    </w:r>
    <w:r w:rsidR="00947065">
      <w:rPr>
        <w:rFonts w:ascii="Arial MT Std Light Cond" w:hAnsi="Arial MT Std Light Cond"/>
        <w:color w:val="2A3539"/>
        <w:sz w:val="22"/>
        <w:szCs w:val="22"/>
      </w:rPr>
      <w:t>32 (0)2 44 1</w:t>
    </w:r>
    <w:r w:rsidRPr="00AB56EB">
      <w:rPr>
        <w:rFonts w:ascii="Arial MT Std Light Cond" w:hAnsi="Arial MT Std Light Cond"/>
        <w:color w:val="2A3539"/>
        <w:sz w:val="22"/>
        <w:szCs w:val="22"/>
      </w:rPr>
      <w:t>5</w:t>
    </w:r>
    <w:r w:rsidR="00947065">
      <w:rPr>
        <w:rFonts w:ascii="Arial MT Std Light Cond" w:hAnsi="Arial MT Std Light Cond"/>
        <w:color w:val="2A3539"/>
        <w:sz w:val="22"/>
        <w:szCs w:val="22"/>
      </w:rPr>
      <w:t xml:space="preserve"> 200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6B" w:rsidRDefault="00FA7B6B" w:rsidP="00873242">
      <w:pPr>
        <w:spacing w:after="0" w:line="240" w:lineRule="auto"/>
      </w:pPr>
      <w:r>
        <w:separator/>
      </w:r>
    </w:p>
  </w:footnote>
  <w:footnote w:type="continuationSeparator" w:id="0">
    <w:p w:rsidR="00FA7B6B" w:rsidRDefault="00FA7B6B" w:rsidP="0087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03" w:rsidRDefault="00E80C03" w:rsidP="00AB56EB">
    <w:pPr>
      <w:pStyle w:val="FormText"/>
      <w:spacing w:line="240" w:lineRule="auto"/>
      <w:jc w:val="center"/>
      <w:rPr>
        <w:rFonts w:ascii="Arial MT Std Light Cond" w:hAnsi="Arial MT Std Light Cond"/>
        <w:b/>
        <w:color w:val="2A3539"/>
        <w:sz w:val="24"/>
        <w:szCs w:val="24"/>
        <w:lang w:val="fr-BE"/>
      </w:rPr>
    </w:pPr>
    <w:r>
      <w:rPr>
        <w:rFonts w:ascii="Arial MT Std Light Cond" w:hAnsi="Arial MT Std Light Cond"/>
        <w:b/>
        <w:noProof/>
        <w:color w:val="2A3539"/>
        <w:sz w:val="24"/>
        <w:szCs w:val="24"/>
        <w:lang w:val="nl-BE" w:eastAsia="nl-BE"/>
      </w:rPr>
      <w:drawing>
        <wp:inline distT="0" distB="0" distL="0" distR="0" wp14:anchorId="096B5EC9" wp14:editId="2F66C1F2">
          <wp:extent cx="742950"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inline>
      </w:drawing>
    </w:r>
  </w:p>
  <w:p w:rsidR="00711B1D" w:rsidRPr="00160F7F" w:rsidRDefault="00160F7F" w:rsidP="00AB56EB">
    <w:pPr>
      <w:pStyle w:val="FormText"/>
      <w:spacing w:line="240" w:lineRule="auto"/>
      <w:jc w:val="center"/>
      <w:rPr>
        <w:rFonts w:ascii="Arial MT Std Light Cond" w:hAnsi="Arial MT Std Light Cond"/>
        <w:b/>
        <w:color w:val="2A3539"/>
        <w:sz w:val="24"/>
        <w:szCs w:val="24"/>
        <w:lang w:val="fr-BE"/>
      </w:rPr>
    </w:pPr>
    <w:r>
      <w:rPr>
        <w:rFonts w:ascii="Arial MT Std Light Cond" w:hAnsi="Arial MT Std Light Cond"/>
        <w:b/>
        <w:color w:val="2A3539"/>
        <w:sz w:val="24"/>
        <w:szCs w:val="24"/>
        <w:lang w:val="fr-BE"/>
      </w:rPr>
      <w:t>Ministre</w:t>
    </w:r>
    <w:r w:rsidR="00711B1D" w:rsidRPr="00160F7F">
      <w:rPr>
        <w:rFonts w:ascii="Arial MT Std Light Cond" w:hAnsi="Arial MT Std Light Cond"/>
        <w:b/>
        <w:color w:val="2A3539"/>
        <w:sz w:val="24"/>
        <w:szCs w:val="24"/>
        <w:lang w:val="fr-BE"/>
      </w:rPr>
      <w:t xml:space="preserve"> de </w:t>
    </w:r>
    <w:r w:rsidR="00711B1D" w:rsidRPr="00160F7F">
      <w:rPr>
        <w:rFonts w:ascii="Arial MT Std Light Cond" w:hAnsi="Arial MT Std Light Cond"/>
        <w:b/>
        <w:color w:val="5D757F"/>
        <w:sz w:val="24"/>
        <w:szCs w:val="24"/>
        <w:lang w:val="fr-BE"/>
      </w:rPr>
      <w:t>la Défense</w:t>
    </w:r>
    <w:r w:rsidR="00711B1D" w:rsidRPr="00160F7F">
      <w:rPr>
        <w:rFonts w:ascii="Arial MT Std Light Cond" w:hAnsi="Arial MT Std Light Cond"/>
        <w:b/>
        <w:color w:val="2A3539"/>
        <w:sz w:val="24"/>
        <w:szCs w:val="24"/>
        <w:lang w:val="fr-BE"/>
      </w:rPr>
      <w:t xml:space="preserve"> et de </w:t>
    </w:r>
    <w:r w:rsidR="00711B1D" w:rsidRPr="00160F7F">
      <w:rPr>
        <w:rFonts w:ascii="Arial MT Std Light Cond" w:hAnsi="Arial MT Std Light Cond"/>
        <w:b/>
        <w:color w:val="7795A1"/>
        <w:sz w:val="24"/>
        <w:szCs w:val="24"/>
        <w:lang w:val="fr-BE"/>
      </w:rPr>
      <w:t>la Fonction Publique</w:t>
    </w:r>
  </w:p>
  <w:p w:rsidR="00711B1D" w:rsidRPr="001E5BA3" w:rsidRDefault="00711B1D" w:rsidP="00AB56EB">
    <w:pPr>
      <w:pStyle w:val="FormText"/>
      <w:spacing w:line="240" w:lineRule="auto"/>
      <w:jc w:val="center"/>
      <w:rPr>
        <w:rFonts w:ascii="Arial MT Std Light Cond" w:hAnsi="Arial MT Std Light Cond"/>
        <w:color w:val="2A3539"/>
        <w:sz w:val="24"/>
        <w:szCs w:val="24"/>
      </w:rPr>
    </w:pPr>
    <w:r>
      <w:rPr>
        <w:rFonts w:ascii="Arial MT Std Light Cond" w:hAnsi="Arial MT Std Light Cond"/>
        <w:color w:val="2A3539"/>
        <w:sz w:val="24"/>
        <w:szCs w:val="24"/>
      </w:rPr>
      <w:t>v</w:t>
    </w:r>
    <w:r w:rsidRPr="001E5BA3">
      <w:rPr>
        <w:rFonts w:ascii="Arial MT Std Light Cond" w:hAnsi="Arial MT Std Light Cond"/>
        <w:color w:val="2A3539"/>
        <w:sz w:val="24"/>
        <w:szCs w:val="24"/>
      </w:rPr>
      <w:t>andeput.fgov.be</w:t>
    </w:r>
  </w:p>
  <w:p w:rsidR="00711B1D" w:rsidRPr="00BB3760" w:rsidRDefault="00711B1D" w:rsidP="00BB3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38D5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C220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DDDDDD"/>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E794F"/>
    <w:multiLevelType w:val="multilevel"/>
    <w:tmpl w:val="E132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MS Gothic" w:hAnsi="Arial" w:cs="Arial"/>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DA1C37"/>
    <w:multiLevelType w:val="hybridMultilevel"/>
    <w:tmpl w:val="8F90EA0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6841799"/>
    <w:multiLevelType w:val="hybridMultilevel"/>
    <w:tmpl w:val="2A323768"/>
    <w:lvl w:ilvl="0" w:tplc="F20EB650">
      <w:start w:val="1"/>
      <w:numFmt w:val="bullet"/>
      <w:lvlText w:val="-"/>
      <w:lvlJc w:val="left"/>
      <w:pPr>
        <w:ind w:left="720" w:hanging="360"/>
      </w:pPr>
      <w:rPr>
        <w:rFonts w:ascii="Arial" w:eastAsia="MS Gothic"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86546FB"/>
    <w:multiLevelType w:val="hybridMultilevel"/>
    <w:tmpl w:val="92A076D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0F171C30"/>
    <w:multiLevelType w:val="multilevel"/>
    <w:tmpl w:val="B3CAFE16"/>
    <w:lvl w:ilvl="0">
      <w:start w:val="1"/>
      <w:numFmt w:val="bullet"/>
      <w:lvlText w:val="-"/>
      <w:lvlJc w:val="left"/>
      <w:pPr>
        <w:tabs>
          <w:tab w:val="num" w:pos="425"/>
        </w:tabs>
        <w:ind w:left="425" w:hanging="425"/>
      </w:pPr>
      <w:rPr>
        <w:rFonts w:ascii="Arial" w:eastAsia="MS Gothic" w:hAnsi="Arial" w:cs="Arial" w:hint="default"/>
        <w:b w:val="0"/>
        <w:i w:val="0"/>
        <w:sz w:val="22"/>
      </w:rPr>
    </w:lvl>
    <w:lvl w:ilvl="1">
      <w:start w:val="1"/>
      <w:numFmt w:val="lowerLetter"/>
      <w:lvlText w:val="%2."/>
      <w:lvlJc w:val="left"/>
      <w:pPr>
        <w:tabs>
          <w:tab w:val="num" w:pos="851"/>
        </w:tabs>
        <w:ind w:left="851" w:hanging="426"/>
      </w:pPr>
      <w:rPr>
        <w:rFonts w:ascii="Arial" w:hAnsi="Arial" w:cs="Times New Roman" w:hint="default"/>
        <w:b w:val="0"/>
        <w:i w:val="0"/>
        <w:sz w:val="22"/>
      </w:rPr>
    </w:lvl>
    <w:lvl w:ilvl="2">
      <w:start w:val="1"/>
      <w:numFmt w:val="decimal"/>
      <w:lvlText w:val="(%3)"/>
      <w:lvlJc w:val="left"/>
      <w:pPr>
        <w:tabs>
          <w:tab w:val="num" w:pos="1276"/>
        </w:tabs>
        <w:ind w:left="1276" w:hanging="425"/>
      </w:pPr>
      <w:rPr>
        <w:rFonts w:ascii="Arial" w:hAnsi="Arial" w:cs="Times New Roman" w:hint="default"/>
        <w:b w:val="0"/>
        <w:i w:val="0"/>
        <w:sz w:val="20"/>
      </w:rPr>
    </w:lvl>
    <w:lvl w:ilvl="3">
      <w:start w:val="1"/>
      <w:numFmt w:val="lowerLetter"/>
      <w:lvlText w:val="(%4)"/>
      <w:lvlJc w:val="left"/>
      <w:pPr>
        <w:tabs>
          <w:tab w:val="num" w:pos="1701"/>
        </w:tabs>
        <w:ind w:left="1701" w:hanging="425"/>
      </w:pPr>
      <w:rPr>
        <w:rFonts w:ascii="Arial" w:hAnsi="Arial" w:cs="Times New Roman" w:hint="default"/>
        <w:b w:val="0"/>
        <w:i w:val="0"/>
        <w:sz w:val="20"/>
      </w:rPr>
    </w:lvl>
    <w:lvl w:ilvl="4">
      <w:start w:val="1"/>
      <w:numFmt w:val="lowerRoman"/>
      <w:lvlText w:val="%5."/>
      <w:lvlJc w:val="left"/>
      <w:pPr>
        <w:tabs>
          <w:tab w:val="num" w:pos="2126"/>
        </w:tabs>
        <w:ind w:left="2126" w:hanging="425"/>
      </w:pPr>
      <w:rPr>
        <w:b w:val="0"/>
        <w:i w:val="0"/>
        <w:sz w:val="2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15:restartNumberingAfterBreak="0">
    <w:nsid w:val="19CD0DDD"/>
    <w:multiLevelType w:val="hybridMultilevel"/>
    <w:tmpl w:val="523AF1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DE20F12"/>
    <w:multiLevelType w:val="multilevel"/>
    <w:tmpl w:val="F1E4704A"/>
    <w:lvl w:ilvl="0">
      <w:start w:val="1"/>
      <w:numFmt w:val="decimal"/>
      <w:lvlText w:val="%1."/>
      <w:lvlJc w:val="left"/>
      <w:pPr>
        <w:tabs>
          <w:tab w:val="num" w:pos="425"/>
        </w:tabs>
        <w:ind w:left="425" w:hanging="425"/>
      </w:pPr>
      <w:rPr>
        <w:rFonts w:ascii="Arial" w:hAnsi="Arial" w:cs="Times New Roman" w:hint="default"/>
        <w:b w:val="0"/>
        <w:i w:val="0"/>
        <w:sz w:val="22"/>
      </w:rPr>
    </w:lvl>
    <w:lvl w:ilvl="1">
      <w:start w:val="1"/>
      <w:numFmt w:val="lowerLetter"/>
      <w:lvlText w:val="%2."/>
      <w:lvlJc w:val="left"/>
      <w:pPr>
        <w:tabs>
          <w:tab w:val="num" w:pos="851"/>
        </w:tabs>
        <w:ind w:left="851" w:hanging="426"/>
      </w:pPr>
      <w:rPr>
        <w:rFonts w:ascii="Arial" w:hAnsi="Arial" w:cs="Times New Roman" w:hint="default"/>
        <w:b w:val="0"/>
        <w:i w:val="0"/>
        <w:sz w:val="22"/>
      </w:rPr>
    </w:lvl>
    <w:lvl w:ilvl="2">
      <w:start w:val="1"/>
      <w:numFmt w:val="decimal"/>
      <w:lvlText w:val="(%3)"/>
      <w:lvlJc w:val="left"/>
      <w:pPr>
        <w:tabs>
          <w:tab w:val="num" w:pos="1276"/>
        </w:tabs>
        <w:ind w:left="1276" w:hanging="425"/>
      </w:pPr>
      <w:rPr>
        <w:rFonts w:ascii="Arial" w:hAnsi="Arial" w:cs="Times New Roman" w:hint="default"/>
        <w:b w:val="0"/>
        <w:i w:val="0"/>
        <w:sz w:val="20"/>
      </w:rPr>
    </w:lvl>
    <w:lvl w:ilvl="3">
      <w:start w:val="1"/>
      <w:numFmt w:val="lowerLetter"/>
      <w:lvlText w:val="(%4)"/>
      <w:lvlJc w:val="left"/>
      <w:pPr>
        <w:tabs>
          <w:tab w:val="num" w:pos="1701"/>
        </w:tabs>
        <w:ind w:left="1701" w:hanging="425"/>
      </w:pPr>
      <w:rPr>
        <w:rFonts w:ascii="Arial" w:hAnsi="Arial" w:cs="Times New Roman" w:hint="default"/>
        <w:b w:val="0"/>
        <w:i w:val="0"/>
        <w:sz w:val="20"/>
      </w:rPr>
    </w:lvl>
    <w:lvl w:ilvl="4">
      <w:start w:val="1"/>
      <w:numFmt w:val="lowerRoman"/>
      <w:lvlText w:val="(%5)"/>
      <w:lvlJc w:val="left"/>
      <w:pPr>
        <w:tabs>
          <w:tab w:val="num" w:pos="2126"/>
        </w:tabs>
        <w:ind w:left="2126" w:hanging="425"/>
      </w:pPr>
      <w:rPr>
        <w:rFonts w:ascii="Arial" w:hAnsi="Arial" w:cs="Times New Roman" w:hint="default"/>
        <w:b w:val="0"/>
        <w:i w:val="0"/>
        <w:sz w:val="2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7" w15:restartNumberingAfterBreak="0">
    <w:nsid w:val="1EEC6AA1"/>
    <w:multiLevelType w:val="hybridMultilevel"/>
    <w:tmpl w:val="1380519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8" w15:restartNumberingAfterBreak="0">
    <w:nsid w:val="228F0A4E"/>
    <w:multiLevelType w:val="hybridMultilevel"/>
    <w:tmpl w:val="43DA547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6C45467"/>
    <w:multiLevelType w:val="hybridMultilevel"/>
    <w:tmpl w:val="5A6A28A0"/>
    <w:lvl w:ilvl="0" w:tplc="9C10AE3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26D44650"/>
    <w:multiLevelType w:val="hybridMultilevel"/>
    <w:tmpl w:val="ED08DD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7005774"/>
    <w:multiLevelType w:val="multilevel"/>
    <w:tmpl w:val="B3CAFE16"/>
    <w:lvl w:ilvl="0">
      <w:start w:val="1"/>
      <w:numFmt w:val="bullet"/>
      <w:lvlText w:val="-"/>
      <w:lvlJc w:val="left"/>
      <w:pPr>
        <w:tabs>
          <w:tab w:val="num" w:pos="425"/>
        </w:tabs>
        <w:ind w:left="425" w:hanging="425"/>
      </w:pPr>
      <w:rPr>
        <w:rFonts w:ascii="Arial" w:eastAsia="MS Gothic" w:hAnsi="Arial" w:cs="Arial" w:hint="default"/>
        <w:b w:val="0"/>
        <w:i w:val="0"/>
        <w:sz w:val="22"/>
      </w:rPr>
    </w:lvl>
    <w:lvl w:ilvl="1">
      <w:start w:val="1"/>
      <w:numFmt w:val="lowerLetter"/>
      <w:lvlText w:val="%2."/>
      <w:lvlJc w:val="left"/>
      <w:pPr>
        <w:tabs>
          <w:tab w:val="num" w:pos="851"/>
        </w:tabs>
        <w:ind w:left="851" w:hanging="426"/>
      </w:pPr>
      <w:rPr>
        <w:rFonts w:ascii="Arial" w:hAnsi="Arial" w:cs="Times New Roman" w:hint="default"/>
        <w:b w:val="0"/>
        <w:i w:val="0"/>
        <w:sz w:val="22"/>
      </w:rPr>
    </w:lvl>
    <w:lvl w:ilvl="2">
      <w:start w:val="1"/>
      <w:numFmt w:val="decimal"/>
      <w:lvlText w:val="(%3)"/>
      <w:lvlJc w:val="left"/>
      <w:pPr>
        <w:tabs>
          <w:tab w:val="num" w:pos="1276"/>
        </w:tabs>
        <w:ind w:left="1276" w:hanging="425"/>
      </w:pPr>
      <w:rPr>
        <w:rFonts w:ascii="Arial" w:hAnsi="Arial" w:cs="Times New Roman" w:hint="default"/>
        <w:b w:val="0"/>
        <w:i w:val="0"/>
        <w:sz w:val="20"/>
      </w:rPr>
    </w:lvl>
    <w:lvl w:ilvl="3">
      <w:start w:val="1"/>
      <w:numFmt w:val="lowerLetter"/>
      <w:lvlText w:val="(%4)"/>
      <w:lvlJc w:val="left"/>
      <w:pPr>
        <w:tabs>
          <w:tab w:val="num" w:pos="1701"/>
        </w:tabs>
        <w:ind w:left="1701" w:hanging="425"/>
      </w:pPr>
      <w:rPr>
        <w:rFonts w:ascii="Arial" w:hAnsi="Arial" w:cs="Times New Roman" w:hint="default"/>
        <w:b w:val="0"/>
        <w:i w:val="0"/>
        <w:sz w:val="20"/>
      </w:rPr>
    </w:lvl>
    <w:lvl w:ilvl="4">
      <w:start w:val="1"/>
      <w:numFmt w:val="lowerRoman"/>
      <w:lvlText w:val="%5."/>
      <w:lvlJc w:val="left"/>
      <w:pPr>
        <w:tabs>
          <w:tab w:val="num" w:pos="2126"/>
        </w:tabs>
        <w:ind w:left="2126" w:hanging="425"/>
      </w:pPr>
      <w:rPr>
        <w:b w:val="0"/>
        <w:i w:val="0"/>
        <w:sz w:val="2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2C25305D"/>
    <w:multiLevelType w:val="multilevel"/>
    <w:tmpl w:val="B3CAFE16"/>
    <w:lvl w:ilvl="0">
      <w:start w:val="1"/>
      <w:numFmt w:val="bullet"/>
      <w:lvlText w:val="-"/>
      <w:lvlJc w:val="left"/>
      <w:pPr>
        <w:tabs>
          <w:tab w:val="num" w:pos="425"/>
        </w:tabs>
        <w:ind w:left="425" w:hanging="425"/>
      </w:pPr>
      <w:rPr>
        <w:rFonts w:ascii="Arial" w:eastAsia="MS Gothic" w:hAnsi="Arial" w:cs="Arial" w:hint="default"/>
        <w:b w:val="0"/>
        <w:i w:val="0"/>
        <w:sz w:val="22"/>
      </w:rPr>
    </w:lvl>
    <w:lvl w:ilvl="1">
      <w:start w:val="1"/>
      <w:numFmt w:val="lowerLetter"/>
      <w:lvlText w:val="%2."/>
      <w:lvlJc w:val="left"/>
      <w:pPr>
        <w:tabs>
          <w:tab w:val="num" w:pos="851"/>
        </w:tabs>
        <w:ind w:left="851" w:hanging="426"/>
      </w:pPr>
      <w:rPr>
        <w:rFonts w:ascii="Arial" w:hAnsi="Arial" w:cs="Times New Roman" w:hint="default"/>
        <w:b w:val="0"/>
        <w:i w:val="0"/>
        <w:sz w:val="22"/>
      </w:rPr>
    </w:lvl>
    <w:lvl w:ilvl="2">
      <w:start w:val="1"/>
      <w:numFmt w:val="decimal"/>
      <w:lvlText w:val="(%3)"/>
      <w:lvlJc w:val="left"/>
      <w:pPr>
        <w:tabs>
          <w:tab w:val="num" w:pos="1276"/>
        </w:tabs>
        <w:ind w:left="1276" w:hanging="425"/>
      </w:pPr>
      <w:rPr>
        <w:rFonts w:ascii="Arial" w:hAnsi="Arial" w:cs="Times New Roman" w:hint="default"/>
        <w:b w:val="0"/>
        <w:i w:val="0"/>
        <w:sz w:val="20"/>
      </w:rPr>
    </w:lvl>
    <w:lvl w:ilvl="3">
      <w:start w:val="1"/>
      <w:numFmt w:val="lowerLetter"/>
      <w:lvlText w:val="(%4)"/>
      <w:lvlJc w:val="left"/>
      <w:pPr>
        <w:tabs>
          <w:tab w:val="num" w:pos="1701"/>
        </w:tabs>
        <w:ind w:left="1701" w:hanging="425"/>
      </w:pPr>
      <w:rPr>
        <w:rFonts w:ascii="Arial" w:hAnsi="Arial" w:cs="Times New Roman" w:hint="default"/>
        <w:b w:val="0"/>
        <w:i w:val="0"/>
        <w:sz w:val="20"/>
      </w:rPr>
    </w:lvl>
    <w:lvl w:ilvl="4">
      <w:start w:val="1"/>
      <w:numFmt w:val="lowerRoman"/>
      <w:lvlText w:val="%5."/>
      <w:lvlJc w:val="left"/>
      <w:pPr>
        <w:tabs>
          <w:tab w:val="num" w:pos="2126"/>
        </w:tabs>
        <w:ind w:left="2126" w:hanging="425"/>
      </w:pPr>
      <w:rPr>
        <w:b w:val="0"/>
        <w:i w:val="0"/>
        <w:sz w:val="2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2D3C174C"/>
    <w:multiLevelType w:val="hybridMultilevel"/>
    <w:tmpl w:val="292283B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7231DD"/>
    <w:multiLevelType w:val="hybridMultilevel"/>
    <w:tmpl w:val="72DCF8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82F2EC7"/>
    <w:multiLevelType w:val="hybridMultilevel"/>
    <w:tmpl w:val="5BE0135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F2D5546"/>
    <w:multiLevelType w:val="hybridMultilevel"/>
    <w:tmpl w:val="3138B0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F9A44E7"/>
    <w:multiLevelType w:val="hybridMultilevel"/>
    <w:tmpl w:val="426CA44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2200880"/>
    <w:multiLevelType w:val="hybridMultilevel"/>
    <w:tmpl w:val="38EAB0EC"/>
    <w:lvl w:ilvl="0" w:tplc="F20EB650">
      <w:start w:val="1"/>
      <w:numFmt w:val="bullet"/>
      <w:lvlText w:val="-"/>
      <w:lvlJc w:val="left"/>
      <w:pPr>
        <w:ind w:left="720" w:hanging="360"/>
      </w:pPr>
      <w:rPr>
        <w:rFonts w:ascii="Arial" w:eastAsia="MS Gothic"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DE75C45"/>
    <w:multiLevelType w:val="hybridMultilevel"/>
    <w:tmpl w:val="F8F8DFDE"/>
    <w:lvl w:ilvl="0" w:tplc="4E22DBC4">
      <w:start w:val="1"/>
      <w:numFmt w:val="decimal"/>
      <w:lvlText w:val="(%1)"/>
      <w:lvlJc w:val="left"/>
      <w:pPr>
        <w:ind w:left="1211" w:hanging="360"/>
      </w:pPr>
      <w:rPr>
        <w:rFonts w:hint="default"/>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30" w15:restartNumberingAfterBreak="0">
    <w:nsid w:val="520D7859"/>
    <w:multiLevelType w:val="hybridMultilevel"/>
    <w:tmpl w:val="E4289740"/>
    <w:lvl w:ilvl="0" w:tplc="5A6068C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5E397EB1"/>
    <w:multiLevelType w:val="multilevel"/>
    <w:tmpl w:val="538C97F6"/>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66507C1"/>
    <w:multiLevelType w:val="hybridMultilevel"/>
    <w:tmpl w:val="462EA6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FDE6D69"/>
    <w:multiLevelType w:val="hybridMultilevel"/>
    <w:tmpl w:val="E2E864B0"/>
    <w:lvl w:ilvl="0" w:tplc="080C0017">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DDDDD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17A5F"/>
    <w:multiLevelType w:val="multilevel"/>
    <w:tmpl w:val="B3CAFE16"/>
    <w:lvl w:ilvl="0">
      <w:start w:val="1"/>
      <w:numFmt w:val="bullet"/>
      <w:lvlText w:val="-"/>
      <w:lvlJc w:val="left"/>
      <w:pPr>
        <w:tabs>
          <w:tab w:val="num" w:pos="425"/>
        </w:tabs>
        <w:ind w:left="425" w:hanging="425"/>
      </w:pPr>
      <w:rPr>
        <w:rFonts w:ascii="Arial" w:eastAsia="MS Gothic" w:hAnsi="Arial" w:cs="Arial" w:hint="default"/>
        <w:b w:val="0"/>
        <w:i w:val="0"/>
        <w:sz w:val="22"/>
      </w:rPr>
    </w:lvl>
    <w:lvl w:ilvl="1">
      <w:start w:val="1"/>
      <w:numFmt w:val="lowerLetter"/>
      <w:lvlText w:val="%2."/>
      <w:lvlJc w:val="left"/>
      <w:pPr>
        <w:tabs>
          <w:tab w:val="num" w:pos="851"/>
        </w:tabs>
        <w:ind w:left="851" w:hanging="426"/>
      </w:pPr>
      <w:rPr>
        <w:rFonts w:ascii="Arial" w:hAnsi="Arial" w:cs="Times New Roman" w:hint="default"/>
        <w:b w:val="0"/>
        <w:i w:val="0"/>
        <w:sz w:val="22"/>
      </w:rPr>
    </w:lvl>
    <w:lvl w:ilvl="2">
      <w:start w:val="1"/>
      <w:numFmt w:val="decimal"/>
      <w:lvlText w:val="(%3)"/>
      <w:lvlJc w:val="left"/>
      <w:pPr>
        <w:tabs>
          <w:tab w:val="num" w:pos="1276"/>
        </w:tabs>
        <w:ind w:left="1276" w:hanging="425"/>
      </w:pPr>
      <w:rPr>
        <w:rFonts w:ascii="Arial" w:hAnsi="Arial" w:cs="Times New Roman" w:hint="default"/>
        <w:b w:val="0"/>
        <w:i w:val="0"/>
        <w:sz w:val="20"/>
      </w:rPr>
    </w:lvl>
    <w:lvl w:ilvl="3">
      <w:start w:val="1"/>
      <w:numFmt w:val="lowerLetter"/>
      <w:lvlText w:val="(%4)"/>
      <w:lvlJc w:val="left"/>
      <w:pPr>
        <w:tabs>
          <w:tab w:val="num" w:pos="1701"/>
        </w:tabs>
        <w:ind w:left="1701" w:hanging="425"/>
      </w:pPr>
      <w:rPr>
        <w:rFonts w:ascii="Arial" w:hAnsi="Arial" w:cs="Times New Roman" w:hint="default"/>
        <w:b w:val="0"/>
        <w:i w:val="0"/>
        <w:sz w:val="20"/>
      </w:rPr>
    </w:lvl>
    <w:lvl w:ilvl="4">
      <w:start w:val="1"/>
      <w:numFmt w:val="lowerRoman"/>
      <w:lvlText w:val="%5."/>
      <w:lvlJc w:val="left"/>
      <w:pPr>
        <w:tabs>
          <w:tab w:val="num" w:pos="2126"/>
        </w:tabs>
        <w:ind w:left="2126" w:hanging="425"/>
      </w:pPr>
      <w:rPr>
        <w:b w:val="0"/>
        <w:i w:val="0"/>
        <w:sz w:val="2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6" w15:restartNumberingAfterBreak="0">
    <w:nsid w:val="76487EAE"/>
    <w:multiLevelType w:val="hybridMultilevel"/>
    <w:tmpl w:val="A4E8FCB6"/>
    <w:lvl w:ilvl="0" w:tplc="F20EB650">
      <w:start w:val="1"/>
      <w:numFmt w:val="bullet"/>
      <w:lvlText w:val="-"/>
      <w:lvlJc w:val="left"/>
      <w:pPr>
        <w:ind w:left="720" w:hanging="360"/>
      </w:pPr>
      <w:rPr>
        <w:rFonts w:ascii="Arial" w:eastAsia="MS Gothic"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99E7A09"/>
    <w:multiLevelType w:val="hybridMultilevel"/>
    <w:tmpl w:val="6F405DEE"/>
    <w:lvl w:ilvl="0" w:tplc="5CC6A166">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4"/>
    <w:lvlOverride w:ilvl="0">
      <w:startOverride w:val="1"/>
    </w:lvlOverride>
  </w:num>
  <w:num w:numId="13">
    <w:abstractNumId w:val="34"/>
    <w:lvlOverride w:ilvl="0">
      <w:startOverride w:val="1"/>
    </w:lvlOverride>
  </w:num>
  <w:num w:numId="14">
    <w:abstractNumId w:val="26"/>
  </w:num>
  <w:num w:numId="15">
    <w:abstractNumId w:val="13"/>
  </w:num>
  <w:num w:numId="16">
    <w:abstractNumId w:val="17"/>
  </w:num>
  <w:num w:numId="17">
    <w:abstractNumId w:val="32"/>
  </w:num>
  <w:num w:numId="18">
    <w:abstractNumId w:val="20"/>
  </w:num>
  <w:num w:numId="19">
    <w:abstractNumId w:val="24"/>
  </w:num>
  <w:num w:numId="20">
    <w:abstractNumId w:val="30"/>
  </w:num>
  <w:num w:numId="21">
    <w:abstractNumId w:val="21"/>
  </w:num>
  <w:num w:numId="22">
    <w:abstractNumId w:val="36"/>
  </w:num>
  <w:num w:numId="23">
    <w:abstractNumId w:val="31"/>
  </w:num>
  <w:num w:numId="24">
    <w:abstractNumId w:val="37"/>
  </w:num>
  <w:num w:numId="25">
    <w:abstractNumId w:val="28"/>
  </w:num>
  <w:num w:numId="26">
    <w:abstractNumId w:val="12"/>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2"/>
  </w:num>
  <w:num w:numId="31">
    <w:abstractNumId w:val="35"/>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3"/>
  </w:num>
  <w:num w:numId="36">
    <w:abstractNumId w:val="18"/>
  </w:num>
  <w:num w:numId="37">
    <w:abstractNumId w:val="11"/>
  </w:num>
  <w:num w:numId="38">
    <w:abstractNumId w:val="33"/>
  </w:num>
  <w:num w:numId="39">
    <w:abstractNumId w:val="25"/>
  </w:num>
  <w:num w:numId="40">
    <w:abstractNumId w:val="2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Type w:val="letter"/>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A3"/>
    <w:rsid w:val="00012FEF"/>
    <w:rsid w:val="00014118"/>
    <w:rsid w:val="000430BD"/>
    <w:rsid w:val="00055CB9"/>
    <w:rsid w:val="00091BCC"/>
    <w:rsid w:val="000947EA"/>
    <w:rsid w:val="000A54E4"/>
    <w:rsid w:val="000A63CC"/>
    <w:rsid w:val="000B1AD1"/>
    <w:rsid w:val="000C713B"/>
    <w:rsid w:val="000D389F"/>
    <w:rsid w:val="000E3124"/>
    <w:rsid w:val="000F1C74"/>
    <w:rsid w:val="0011430F"/>
    <w:rsid w:val="0012141F"/>
    <w:rsid w:val="00130713"/>
    <w:rsid w:val="001315F6"/>
    <w:rsid w:val="00137806"/>
    <w:rsid w:val="0014536C"/>
    <w:rsid w:val="001536D3"/>
    <w:rsid w:val="00160F7F"/>
    <w:rsid w:val="00167F64"/>
    <w:rsid w:val="0018617C"/>
    <w:rsid w:val="00196BC6"/>
    <w:rsid w:val="001A0CB5"/>
    <w:rsid w:val="001A48C5"/>
    <w:rsid w:val="001B7527"/>
    <w:rsid w:val="001C3075"/>
    <w:rsid w:val="001C5DC5"/>
    <w:rsid w:val="001C7ABC"/>
    <w:rsid w:val="001D4681"/>
    <w:rsid w:val="001E5BA3"/>
    <w:rsid w:val="00200177"/>
    <w:rsid w:val="0023665B"/>
    <w:rsid w:val="002371D1"/>
    <w:rsid w:val="00243085"/>
    <w:rsid w:val="00250814"/>
    <w:rsid w:val="00251909"/>
    <w:rsid w:val="0026449B"/>
    <w:rsid w:val="00267AD4"/>
    <w:rsid w:val="0027743F"/>
    <w:rsid w:val="002775C1"/>
    <w:rsid w:val="002810A4"/>
    <w:rsid w:val="002812CA"/>
    <w:rsid w:val="0029484B"/>
    <w:rsid w:val="00294EB8"/>
    <w:rsid w:val="002A1D7D"/>
    <w:rsid w:val="002C2D6B"/>
    <w:rsid w:val="002C5E6E"/>
    <w:rsid w:val="002D4204"/>
    <w:rsid w:val="002D7752"/>
    <w:rsid w:val="00302686"/>
    <w:rsid w:val="003134DE"/>
    <w:rsid w:val="00323E72"/>
    <w:rsid w:val="003330CD"/>
    <w:rsid w:val="00340038"/>
    <w:rsid w:val="00350E36"/>
    <w:rsid w:val="00361EF9"/>
    <w:rsid w:val="00381BD6"/>
    <w:rsid w:val="003901ED"/>
    <w:rsid w:val="00390262"/>
    <w:rsid w:val="00397136"/>
    <w:rsid w:val="003A2EA9"/>
    <w:rsid w:val="003B3951"/>
    <w:rsid w:val="003C476A"/>
    <w:rsid w:val="003E1E68"/>
    <w:rsid w:val="003F069A"/>
    <w:rsid w:val="00414AC8"/>
    <w:rsid w:val="00415C10"/>
    <w:rsid w:val="00454470"/>
    <w:rsid w:val="004642A4"/>
    <w:rsid w:val="004E12C9"/>
    <w:rsid w:val="004F5DFB"/>
    <w:rsid w:val="00503C9E"/>
    <w:rsid w:val="005078B0"/>
    <w:rsid w:val="0051702C"/>
    <w:rsid w:val="00525D6A"/>
    <w:rsid w:val="005379CD"/>
    <w:rsid w:val="005437EA"/>
    <w:rsid w:val="00545615"/>
    <w:rsid w:val="005555CA"/>
    <w:rsid w:val="00583B61"/>
    <w:rsid w:val="00587545"/>
    <w:rsid w:val="005B36E3"/>
    <w:rsid w:val="005B65D8"/>
    <w:rsid w:val="005B77F6"/>
    <w:rsid w:val="005C036E"/>
    <w:rsid w:val="005D297C"/>
    <w:rsid w:val="005E1B37"/>
    <w:rsid w:val="00614008"/>
    <w:rsid w:val="006241E6"/>
    <w:rsid w:val="006245ED"/>
    <w:rsid w:val="00633397"/>
    <w:rsid w:val="00644084"/>
    <w:rsid w:val="0066254A"/>
    <w:rsid w:val="006749B3"/>
    <w:rsid w:val="00677C11"/>
    <w:rsid w:val="0068206B"/>
    <w:rsid w:val="006826DC"/>
    <w:rsid w:val="00687888"/>
    <w:rsid w:val="00693618"/>
    <w:rsid w:val="00695990"/>
    <w:rsid w:val="006A1E15"/>
    <w:rsid w:val="006D2174"/>
    <w:rsid w:val="006D7207"/>
    <w:rsid w:val="006E1AE3"/>
    <w:rsid w:val="006E36F0"/>
    <w:rsid w:val="006E6A2B"/>
    <w:rsid w:val="00702EA9"/>
    <w:rsid w:val="00711B1D"/>
    <w:rsid w:val="0072124B"/>
    <w:rsid w:val="007256CF"/>
    <w:rsid w:val="007257BA"/>
    <w:rsid w:val="007457AE"/>
    <w:rsid w:val="00747575"/>
    <w:rsid w:val="00751E29"/>
    <w:rsid w:val="00752B76"/>
    <w:rsid w:val="00757F50"/>
    <w:rsid w:val="00770A85"/>
    <w:rsid w:val="00777488"/>
    <w:rsid w:val="00782133"/>
    <w:rsid w:val="00791C26"/>
    <w:rsid w:val="007B214D"/>
    <w:rsid w:val="007B4B4A"/>
    <w:rsid w:val="007B50CD"/>
    <w:rsid w:val="007D5B85"/>
    <w:rsid w:val="007E508F"/>
    <w:rsid w:val="007E52FC"/>
    <w:rsid w:val="007E7A98"/>
    <w:rsid w:val="007F7692"/>
    <w:rsid w:val="008028BA"/>
    <w:rsid w:val="00811157"/>
    <w:rsid w:val="00815FC0"/>
    <w:rsid w:val="00831A01"/>
    <w:rsid w:val="008332AB"/>
    <w:rsid w:val="00833ED2"/>
    <w:rsid w:val="0083405C"/>
    <w:rsid w:val="0084512E"/>
    <w:rsid w:val="00852073"/>
    <w:rsid w:val="00857396"/>
    <w:rsid w:val="00861F87"/>
    <w:rsid w:val="00873242"/>
    <w:rsid w:val="00883F8A"/>
    <w:rsid w:val="0088727F"/>
    <w:rsid w:val="008A60BE"/>
    <w:rsid w:val="008B62DD"/>
    <w:rsid w:val="008C146E"/>
    <w:rsid w:val="008D3795"/>
    <w:rsid w:val="008E0AA5"/>
    <w:rsid w:val="008F5032"/>
    <w:rsid w:val="00926DCA"/>
    <w:rsid w:val="00930EDA"/>
    <w:rsid w:val="00947065"/>
    <w:rsid w:val="009501EB"/>
    <w:rsid w:val="00955D54"/>
    <w:rsid w:val="009644A7"/>
    <w:rsid w:val="00971C28"/>
    <w:rsid w:val="0098389D"/>
    <w:rsid w:val="009A3302"/>
    <w:rsid w:val="009E044C"/>
    <w:rsid w:val="009E2F86"/>
    <w:rsid w:val="009E3D62"/>
    <w:rsid w:val="009F2821"/>
    <w:rsid w:val="009F52B0"/>
    <w:rsid w:val="009F6C1B"/>
    <w:rsid w:val="00A016AE"/>
    <w:rsid w:val="00A05B5C"/>
    <w:rsid w:val="00A2595C"/>
    <w:rsid w:val="00A33A6B"/>
    <w:rsid w:val="00A458F9"/>
    <w:rsid w:val="00A45DCE"/>
    <w:rsid w:val="00A53190"/>
    <w:rsid w:val="00AB06BB"/>
    <w:rsid w:val="00AB56EB"/>
    <w:rsid w:val="00B26414"/>
    <w:rsid w:val="00B31628"/>
    <w:rsid w:val="00B377E9"/>
    <w:rsid w:val="00B40AD8"/>
    <w:rsid w:val="00B411F9"/>
    <w:rsid w:val="00B53584"/>
    <w:rsid w:val="00B655A1"/>
    <w:rsid w:val="00B72573"/>
    <w:rsid w:val="00B955D2"/>
    <w:rsid w:val="00B96933"/>
    <w:rsid w:val="00B97BE6"/>
    <w:rsid w:val="00BA0204"/>
    <w:rsid w:val="00BA3147"/>
    <w:rsid w:val="00BA6BFD"/>
    <w:rsid w:val="00BB25F0"/>
    <w:rsid w:val="00BB3760"/>
    <w:rsid w:val="00BB4827"/>
    <w:rsid w:val="00BC04CF"/>
    <w:rsid w:val="00BC4143"/>
    <w:rsid w:val="00BD2F18"/>
    <w:rsid w:val="00BF01D4"/>
    <w:rsid w:val="00BF6772"/>
    <w:rsid w:val="00C60835"/>
    <w:rsid w:val="00C729D0"/>
    <w:rsid w:val="00C80753"/>
    <w:rsid w:val="00CA20EB"/>
    <w:rsid w:val="00CC48CF"/>
    <w:rsid w:val="00CD2A0B"/>
    <w:rsid w:val="00D034D9"/>
    <w:rsid w:val="00D04E4B"/>
    <w:rsid w:val="00D12F3E"/>
    <w:rsid w:val="00D278E3"/>
    <w:rsid w:val="00D27F96"/>
    <w:rsid w:val="00D30871"/>
    <w:rsid w:val="00D3122A"/>
    <w:rsid w:val="00D320D2"/>
    <w:rsid w:val="00D360A6"/>
    <w:rsid w:val="00D40D88"/>
    <w:rsid w:val="00D67AFE"/>
    <w:rsid w:val="00D739A7"/>
    <w:rsid w:val="00D74C07"/>
    <w:rsid w:val="00D970D1"/>
    <w:rsid w:val="00D97C52"/>
    <w:rsid w:val="00D97DE6"/>
    <w:rsid w:val="00DA4A29"/>
    <w:rsid w:val="00DA4B53"/>
    <w:rsid w:val="00DA627C"/>
    <w:rsid w:val="00DA704F"/>
    <w:rsid w:val="00DC0525"/>
    <w:rsid w:val="00DC4209"/>
    <w:rsid w:val="00DE00DD"/>
    <w:rsid w:val="00DE1178"/>
    <w:rsid w:val="00DE1545"/>
    <w:rsid w:val="00DF17FE"/>
    <w:rsid w:val="00DF3A44"/>
    <w:rsid w:val="00E020C3"/>
    <w:rsid w:val="00E035F8"/>
    <w:rsid w:val="00E0577A"/>
    <w:rsid w:val="00E10EB8"/>
    <w:rsid w:val="00E10ECC"/>
    <w:rsid w:val="00E2117F"/>
    <w:rsid w:val="00E316CE"/>
    <w:rsid w:val="00E80C03"/>
    <w:rsid w:val="00E92FE1"/>
    <w:rsid w:val="00E96085"/>
    <w:rsid w:val="00E9683E"/>
    <w:rsid w:val="00EA7349"/>
    <w:rsid w:val="00EB7469"/>
    <w:rsid w:val="00EC3B37"/>
    <w:rsid w:val="00ED23F9"/>
    <w:rsid w:val="00ED40CA"/>
    <w:rsid w:val="00EE322F"/>
    <w:rsid w:val="00EF7C87"/>
    <w:rsid w:val="00F00610"/>
    <w:rsid w:val="00F06EFC"/>
    <w:rsid w:val="00F1192E"/>
    <w:rsid w:val="00F26457"/>
    <w:rsid w:val="00F27FBF"/>
    <w:rsid w:val="00F3285F"/>
    <w:rsid w:val="00F3625E"/>
    <w:rsid w:val="00F451F2"/>
    <w:rsid w:val="00F46290"/>
    <w:rsid w:val="00F4668A"/>
    <w:rsid w:val="00F50111"/>
    <w:rsid w:val="00F64F92"/>
    <w:rsid w:val="00F71671"/>
    <w:rsid w:val="00F77C15"/>
    <w:rsid w:val="00F839C9"/>
    <w:rsid w:val="00FA7B6B"/>
    <w:rsid w:val="00FB4372"/>
    <w:rsid w:val="00FB5D3F"/>
    <w:rsid w:val="00FD1D0A"/>
    <w:rsid w:val="00FE3531"/>
    <w:rsid w:val="00FE3E22"/>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0B5C908D-73F6-4068-BDEB-6F844ABC8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MS Gothic" w:hAnsi="Arial Narrow" w:cs="Times New Roman"/>
        <w:lang w:val="en-US" w:eastAsia="nl-NL"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3085"/>
    <w:pPr>
      <w:spacing w:after="200" w:line="276" w:lineRule="auto"/>
    </w:pPr>
    <w:rPr>
      <w:rFonts w:ascii="Arial" w:hAnsi="Arial"/>
      <w:color w:val="000000"/>
    </w:rPr>
  </w:style>
  <w:style w:type="paragraph" w:styleId="Heading1">
    <w:name w:val="heading 1"/>
    <w:basedOn w:val="Normal"/>
    <w:next w:val="Normal"/>
    <w:link w:val="Heading1Char"/>
    <w:uiPriority w:val="1"/>
    <w:qFormat/>
    <w:rsid w:val="009F2821"/>
    <w:pPr>
      <w:pageBreakBefore/>
      <w:spacing w:before="480" w:after="360" w:line="240" w:lineRule="auto"/>
      <w:outlineLvl w:val="0"/>
    </w:pPr>
    <w:rPr>
      <w:bCs/>
      <w:color w:val="303F48"/>
      <w:sz w:val="40"/>
      <w:szCs w:val="28"/>
    </w:rPr>
  </w:style>
  <w:style w:type="paragraph" w:styleId="Heading2">
    <w:name w:val="heading 2"/>
    <w:basedOn w:val="Normal"/>
    <w:next w:val="Normal"/>
    <w:link w:val="Heading2Char"/>
    <w:uiPriority w:val="1"/>
    <w:qFormat/>
    <w:rsid w:val="00F50111"/>
    <w:pPr>
      <w:keepNext/>
      <w:keepLines/>
      <w:spacing w:before="200" w:after="100" w:line="240" w:lineRule="auto"/>
      <w:outlineLvl w:val="1"/>
    </w:pPr>
    <w:rPr>
      <w:bCs/>
      <w:color w:val="6E808B"/>
      <w:sz w:val="36"/>
      <w:szCs w:val="26"/>
    </w:rPr>
  </w:style>
  <w:style w:type="paragraph" w:styleId="Heading3">
    <w:name w:val="heading 3"/>
    <w:basedOn w:val="Normal"/>
    <w:next w:val="Normal"/>
    <w:link w:val="Heading3Char"/>
    <w:uiPriority w:val="1"/>
    <w:unhideWhenUsed/>
    <w:qFormat/>
    <w:rsid w:val="00F50111"/>
    <w:pPr>
      <w:keepNext/>
      <w:keepLines/>
      <w:spacing w:before="200" w:after="0"/>
      <w:outlineLvl w:val="2"/>
    </w:pPr>
    <w:rPr>
      <w:bCs/>
      <w:color w:val="6E808B"/>
      <w:sz w:val="32"/>
    </w:rPr>
  </w:style>
  <w:style w:type="paragraph" w:styleId="Heading4">
    <w:name w:val="heading 4"/>
    <w:basedOn w:val="Normal"/>
    <w:next w:val="Normal"/>
    <w:link w:val="Heading4Char"/>
    <w:uiPriority w:val="1"/>
    <w:unhideWhenUsed/>
    <w:qFormat/>
    <w:rsid w:val="00F50111"/>
    <w:pPr>
      <w:keepNext/>
      <w:keepLines/>
      <w:spacing w:before="200" w:after="0"/>
      <w:outlineLvl w:val="3"/>
    </w:pPr>
    <w:rPr>
      <w:b/>
      <w:bCs/>
      <w:i/>
      <w:iCs/>
      <w:color w:val="6E808B"/>
      <w:sz w:val="24"/>
    </w:rPr>
  </w:style>
  <w:style w:type="paragraph" w:styleId="Heading5">
    <w:name w:val="heading 5"/>
    <w:basedOn w:val="Normal"/>
    <w:next w:val="Normal"/>
    <w:link w:val="Heading5Char"/>
    <w:uiPriority w:val="1"/>
    <w:unhideWhenUsed/>
    <w:qFormat/>
    <w:rsid w:val="00F50111"/>
    <w:pPr>
      <w:spacing w:before="240" w:after="60"/>
      <w:outlineLvl w:val="4"/>
    </w:pPr>
    <w:rPr>
      <w:rFonts w:ascii="Arial Narrow" w:hAnsi="Arial Narrow"/>
      <w:b/>
      <w:bCs/>
      <w:i/>
      <w:iCs/>
      <w:color w:val="6E808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243085"/>
    <w:pPr>
      <w:spacing w:after="0" w:line="600" w:lineRule="exact"/>
    </w:pPr>
    <w:rPr>
      <w:color w:val="FFFFFF"/>
      <w:sz w:val="56"/>
      <w:szCs w:val="36"/>
    </w:rPr>
  </w:style>
  <w:style w:type="paragraph" w:styleId="Header">
    <w:name w:val="header"/>
    <w:basedOn w:val="Normal"/>
    <w:link w:val="HeaderChar"/>
    <w:uiPriority w:val="99"/>
    <w:unhideWhenUsed/>
    <w:pPr>
      <w:spacing w:after="0" w:line="240" w:lineRule="auto"/>
    </w:pPr>
    <w:rPr>
      <w:caps/>
      <w:color w:val="FFFFFF"/>
      <w:sz w:val="16"/>
    </w:rPr>
  </w:style>
  <w:style w:type="character" w:customStyle="1" w:styleId="HeaderChar">
    <w:name w:val="Header Char"/>
    <w:link w:val="Header"/>
    <w:uiPriority w:val="99"/>
    <w:rPr>
      <w:caps/>
      <w:color w:val="FFFFFF"/>
      <w:sz w:val="16"/>
    </w:rPr>
  </w:style>
  <w:style w:type="paragraph" w:styleId="Footer">
    <w:name w:val="footer"/>
    <w:basedOn w:val="Normal"/>
    <w:link w:val="FooterChar"/>
    <w:uiPriority w:val="99"/>
    <w:unhideWhenUsed/>
    <w:pPr>
      <w:spacing w:before="40" w:after="40" w:line="240" w:lineRule="auto"/>
    </w:pPr>
    <w:rPr>
      <w:caps/>
      <w:color w:val="969696"/>
      <w:sz w:val="16"/>
    </w:rPr>
  </w:style>
  <w:style w:type="character" w:customStyle="1" w:styleId="FooterChar">
    <w:name w:val="Footer Char"/>
    <w:link w:val="Footer"/>
    <w:uiPriority w:val="99"/>
    <w:rPr>
      <w:caps/>
      <w:color w:val="969696"/>
      <w:sz w:val="16"/>
    </w:rPr>
  </w:style>
  <w:style w:type="paragraph" w:customStyle="1" w:styleId="ContactDetails">
    <w:name w:val="Contact Details"/>
    <w:basedOn w:val="Normal"/>
    <w:uiPriority w:val="1"/>
    <w:qFormat/>
    <w:pPr>
      <w:spacing w:before="80" w:after="80"/>
    </w:pPr>
    <w:rPr>
      <w:color w:val="FFFFFF"/>
      <w:sz w:val="16"/>
      <w:szCs w:val="14"/>
    </w:rPr>
  </w:style>
  <w:style w:type="character" w:styleId="PlaceholderText">
    <w:name w:val="Placeholder Text"/>
    <w:uiPriority w:val="99"/>
    <w:semiHidden/>
    <w:rPr>
      <w:color w:val="808080"/>
    </w:rPr>
  </w:style>
  <w:style w:type="paragraph" w:styleId="Title">
    <w:name w:val="Title"/>
    <w:basedOn w:val="Normal"/>
    <w:next w:val="Normal"/>
    <w:link w:val="TitleChar"/>
    <w:uiPriority w:val="1"/>
    <w:qFormat/>
    <w:pPr>
      <w:pBdr>
        <w:bottom w:val="single" w:sz="8" w:space="4" w:color="969696"/>
      </w:pBdr>
      <w:spacing w:before="720" w:after="480" w:line="240" w:lineRule="auto"/>
    </w:pPr>
    <w:rPr>
      <w:color w:val="DDDDDD"/>
      <w:sz w:val="48"/>
    </w:rPr>
  </w:style>
  <w:style w:type="character" w:customStyle="1" w:styleId="TitleChar">
    <w:name w:val="Title Char"/>
    <w:link w:val="Title"/>
    <w:uiPriority w:val="1"/>
    <w:rPr>
      <w:color w:val="DDDDDD"/>
      <w:sz w:val="48"/>
    </w:rPr>
  </w:style>
  <w:style w:type="paragraph" w:styleId="Subtitle">
    <w:name w:val="Subtitle"/>
    <w:basedOn w:val="Normal"/>
    <w:next w:val="Normal"/>
    <w:link w:val="SubtitleChar"/>
    <w:uiPriority w:val="1"/>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
    <w:rPr>
      <w:iCs/>
      <w:color w:val="595959"/>
      <w:sz w:val="28"/>
      <w:szCs w:val="28"/>
    </w:rPr>
  </w:style>
  <w:style w:type="paragraph" w:styleId="Date">
    <w:name w:val="Date"/>
    <w:basedOn w:val="Normal"/>
    <w:next w:val="Normal"/>
    <w:link w:val="DateChar"/>
    <w:uiPriority w:val="1"/>
    <w:pPr>
      <w:spacing w:before="720" w:after="240"/>
    </w:pPr>
    <w:rPr>
      <w:color w:val="7F7F7F"/>
    </w:rPr>
  </w:style>
  <w:style w:type="character" w:customStyle="1" w:styleId="DateChar">
    <w:name w:val="Date Char"/>
    <w:link w:val="Date"/>
    <w:uiPriority w:val="1"/>
    <w:rPr>
      <w:color w:val="7F7F7F"/>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rsid w:val="0024308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sid w:val="009F2821"/>
    <w:rPr>
      <w:bCs/>
      <w:color w:val="303F48"/>
      <w:sz w:val="40"/>
      <w:szCs w:val="28"/>
    </w:rPr>
  </w:style>
  <w:style w:type="character" w:styleId="PageNumber">
    <w:name w:val="page number"/>
    <w:uiPriority w:val="99"/>
    <w:unhideWhenUsed/>
    <w:rPr>
      <w:color w:val="000000"/>
    </w:rPr>
  </w:style>
  <w:style w:type="character" w:customStyle="1" w:styleId="Heading2Char">
    <w:name w:val="Heading 2 Char"/>
    <w:link w:val="Heading2"/>
    <w:uiPriority w:val="1"/>
    <w:rsid w:val="00F50111"/>
    <w:rPr>
      <w:bCs/>
      <w:color w:val="6E808B"/>
      <w:sz w:val="36"/>
      <w:szCs w:val="26"/>
    </w:rPr>
  </w:style>
  <w:style w:type="character" w:customStyle="1" w:styleId="Heading3Char">
    <w:name w:val="Heading 3 Char"/>
    <w:link w:val="Heading3"/>
    <w:uiPriority w:val="1"/>
    <w:rsid w:val="00F50111"/>
    <w:rPr>
      <w:bCs/>
      <w:color w:val="6E808B"/>
      <w:sz w:val="32"/>
    </w:rPr>
  </w:style>
  <w:style w:type="paragraph" w:styleId="ListNumber">
    <w:name w:val="List Number"/>
    <w:basedOn w:val="Normal"/>
    <w:uiPriority w:val="1"/>
    <w:unhideWhenUsed/>
    <w:qFormat/>
    <w:pPr>
      <w:numPr>
        <w:numId w:val="6"/>
      </w:numPr>
      <w:contextualSpacing/>
    </w:pPr>
  </w:style>
  <w:style w:type="paragraph" w:styleId="ListBullet">
    <w:name w:val="List Bullet"/>
    <w:basedOn w:val="Normal"/>
    <w:uiPriority w:val="1"/>
    <w:qFormat/>
    <w:pPr>
      <w:numPr>
        <w:numId w:val="11"/>
      </w:numPr>
      <w:spacing w:before="200" w:line="240" w:lineRule="auto"/>
      <w:ind w:left="720"/>
    </w:pPr>
    <w:rPr>
      <w:szCs w:val="22"/>
    </w:rPr>
  </w:style>
  <w:style w:type="paragraph" w:styleId="FootnoteText">
    <w:name w:val="footnote text"/>
    <w:basedOn w:val="Normal"/>
    <w:link w:val="FootnoteTextChar"/>
    <w:uiPriority w:val="99"/>
    <w:pPr>
      <w:spacing w:after="0" w:line="240" w:lineRule="auto"/>
    </w:pPr>
    <w:rPr>
      <w:i/>
      <w:color w:val="595959"/>
      <w:sz w:val="16"/>
    </w:rPr>
  </w:style>
  <w:style w:type="character" w:customStyle="1" w:styleId="FootnoteTextChar">
    <w:name w:val="Footnote Text Char"/>
    <w:link w:val="FootnoteText"/>
    <w:uiPriority w:val="99"/>
    <w:rPr>
      <w:i/>
      <w:color w:val="595959"/>
      <w:sz w:val="16"/>
    </w:rPr>
  </w:style>
  <w:style w:type="character" w:styleId="FootnoteReference">
    <w:name w:val="footnote reference"/>
    <w:uiPriority w:val="99"/>
    <w:rPr>
      <w:color w:val="DDDDDD"/>
      <w:sz w:val="20"/>
      <w:vertAlign w:val="superscript"/>
    </w:rPr>
  </w:style>
  <w:style w:type="paragraph" w:styleId="NoSpacing">
    <w:name w:val="No Spacing"/>
    <w:uiPriority w:val="1"/>
    <w:qFormat/>
    <w:rPr>
      <w:color w:val="262626"/>
    </w:rPr>
  </w:style>
  <w:style w:type="character" w:customStyle="1" w:styleId="Heading4Char">
    <w:name w:val="Heading 4 Char"/>
    <w:link w:val="Heading4"/>
    <w:uiPriority w:val="1"/>
    <w:rsid w:val="00F50111"/>
    <w:rPr>
      <w:b/>
      <w:bCs/>
      <w:i/>
      <w:iCs/>
      <w:color w:val="6E808B"/>
      <w:sz w:val="24"/>
    </w:rPr>
  </w:style>
  <w:style w:type="paragraph" w:customStyle="1" w:styleId="FormText">
    <w:name w:val="Form Text"/>
    <w:basedOn w:val="Normal"/>
    <w:qFormat/>
    <w:pPr>
      <w:spacing w:after="40"/>
    </w:pPr>
  </w:style>
  <w:style w:type="character" w:customStyle="1" w:styleId="FormHeadingChar">
    <w:name w:val="Form Heading Char"/>
    <w:link w:val="FormHeading"/>
    <w:rPr>
      <w:b/>
      <w:color w:val="7F7F7F"/>
    </w:rPr>
  </w:style>
  <w:style w:type="paragraph" w:customStyle="1" w:styleId="FormHeading">
    <w:name w:val="Form Heading"/>
    <w:basedOn w:val="Normal"/>
    <w:link w:val="FormHeadingChar"/>
    <w:qFormat/>
    <w:pPr>
      <w:spacing w:before="480" w:after="120"/>
    </w:pPr>
    <w:rPr>
      <w:b/>
      <w:color w:val="7F7F7F"/>
    </w:rPr>
  </w:style>
  <w:style w:type="paragraph" w:customStyle="1" w:styleId="Recipient">
    <w:name w:val="Recipient"/>
    <w:basedOn w:val="Normal"/>
    <w:uiPriority w:val="1"/>
    <w:qFormat/>
    <w:pPr>
      <w:spacing w:after="0" w:line="240" w:lineRule="auto"/>
    </w:pPr>
    <w:rPr>
      <w:color w:val="7F7F7F"/>
    </w:rPr>
  </w:style>
  <w:style w:type="paragraph" w:styleId="Salutation">
    <w:name w:val="Salutation"/>
    <w:basedOn w:val="Normal"/>
    <w:next w:val="Normal"/>
    <w:link w:val="SalutationChar"/>
    <w:uiPriority w:val="1"/>
    <w:unhideWhenUsed/>
    <w:qFormat/>
    <w:pPr>
      <w:spacing w:before="480"/>
    </w:pPr>
  </w:style>
  <w:style w:type="character" w:customStyle="1" w:styleId="SalutationChar">
    <w:name w:val="Salutation Char"/>
    <w:link w:val="Salutation"/>
    <w:uiPriority w:val="1"/>
    <w:rPr>
      <w:color w:val="262626"/>
    </w:rPr>
  </w:style>
  <w:style w:type="paragraph" w:styleId="Signature">
    <w:name w:val="Signature"/>
    <w:basedOn w:val="Normal"/>
    <w:link w:val="SignatureChar"/>
    <w:uiPriority w:val="1"/>
    <w:unhideWhenUsed/>
    <w:qFormat/>
    <w:pPr>
      <w:spacing w:before="720" w:after="0" w:line="240" w:lineRule="auto"/>
    </w:pPr>
  </w:style>
  <w:style w:type="character" w:customStyle="1" w:styleId="SignatureChar">
    <w:name w:val="Signature Char"/>
    <w:link w:val="Signature"/>
    <w:uiPriority w:val="1"/>
    <w:rPr>
      <w:color w:val="262626"/>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color w:val="000000"/>
    </w:rPr>
  </w:style>
  <w:style w:type="character" w:customStyle="1" w:styleId="Heading5Char">
    <w:name w:val="Heading 5 Char"/>
    <w:link w:val="Heading5"/>
    <w:uiPriority w:val="1"/>
    <w:rsid w:val="00F50111"/>
    <w:rPr>
      <w:rFonts w:ascii="Arial Narrow" w:eastAsia="MS Gothic" w:hAnsi="Arial Narrow" w:cs="Times New Roman"/>
      <w:b/>
      <w:bCs/>
      <w:i/>
      <w:iCs/>
      <w:color w:val="6E808B"/>
      <w:sz w:val="26"/>
      <w:szCs w:val="26"/>
    </w:rPr>
  </w:style>
  <w:style w:type="character" w:styleId="Hyperlink">
    <w:name w:val="Hyperlink"/>
    <w:basedOn w:val="DefaultParagraphFont"/>
    <w:uiPriority w:val="99"/>
    <w:unhideWhenUsed/>
    <w:rsid w:val="00AB56EB"/>
    <w:rPr>
      <w:color w:val="0000FF" w:themeColor="hyperlink"/>
      <w:u w:val="single"/>
    </w:rPr>
  </w:style>
  <w:style w:type="paragraph" w:styleId="ListParagraph">
    <w:name w:val="List Paragraph"/>
    <w:basedOn w:val="Normal"/>
    <w:uiPriority w:val="34"/>
    <w:qFormat/>
    <w:rsid w:val="00BB25F0"/>
    <w:pPr>
      <w:spacing w:after="40" w:line="259" w:lineRule="auto"/>
      <w:ind w:left="720"/>
      <w:contextualSpacing/>
    </w:pPr>
    <w:rPr>
      <w:rFonts w:ascii="Times New Roman" w:eastAsiaTheme="minorHAnsi" w:hAnsi="Times New Roman" w:cstheme="minorBidi"/>
      <w:color w:val="auto"/>
      <w:sz w:val="24"/>
      <w:szCs w:val="22"/>
      <w:lang w:val="nl-BE" w:eastAsia="en-US"/>
    </w:rPr>
  </w:style>
  <w:style w:type="character" w:styleId="CommentReference">
    <w:name w:val="annotation reference"/>
    <w:basedOn w:val="DefaultParagraphFont"/>
    <w:uiPriority w:val="99"/>
    <w:semiHidden/>
    <w:unhideWhenUsed/>
    <w:rsid w:val="00E10EB8"/>
    <w:rPr>
      <w:sz w:val="16"/>
      <w:szCs w:val="16"/>
    </w:rPr>
  </w:style>
  <w:style w:type="paragraph" w:styleId="CommentText">
    <w:name w:val="annotation text"/>
    <w:basedOn w:val="Normal"/>
    <w:link w:val="CommentTextChar"/>
    <w:uiPriority w:val="99"/>
    <w:semiHidden/>
    <w:unhideWhenUsed/>
    <w:rsid w:val="00E10EB8"/>
    <w:pPr>
      <w:spacing w:line="240" w:lineRule="auto"/>
    </w:pPr>
  </w:style>
  <w:style w:type="character" w:customStyle="1" w:styleId="CommentTextChar">
    <w:name w:val="Comment Text Char"/>
    <w:basedOn w:val="DefaultParagraphFont"/>
    <w:link w:val="CommentText"/>
    <w:uiPriority w:val="99"/>
    <w:semiHidden/>
    <w:rsid w:val="00E10EB8"/>
    <w:rPr>
      <w:rFonts w:ascii="Arial" w:hAnsi="Arial"/>
      <w:color w:val="000000"/>
    </w:rPr>
  </w:style>
  <w:style w:type="paragraph" w:styleId="CommentSubject">
    <w:name w:val="annotation subject"/>
    <w:basedOn w:val="CommentText"/>
    <w:next w:val="CommentText"/>
    <w:link w:val="CommentSubjectChar"/>
    <w:uiPriority w:val="99"/>
    <w:semiHidden/>
    <w:unhideWhenUsed/>
    <w:rsid w:val="00E10EB8"/>
    <w:rPr>
      <w:b/>
      <w:bCs/>
    </w:rPr>
  </w:style>
  <w:style w:type="character" w:customStyle="1" w:styleId="CommentSubjectChar">
    <w:name w:val="Comment Subject Char"/>
    <w:basedOn w:val="CommentTextChar"/>
    <w:link w:val="CommentSubject"/>
    <w:uiPriority w:val="99"/>
    <w:semiHidden/>
    <w:rsid w:val="00E10EB8"/>
    <w:rPr>
      <w:rFonts w:ascii="Arial" w:hAnsi="Arial"/>
      <w:b/>
      <w:bCs/>
      <w:color w:val="000000"/>
    </w:rPr>
  </w:style>
  <w:style w:type="character" w:customStyle="1" w:styleId="UnresolvedMention">
    <w:name w:val="Unresolved Mention"/>
    <w:basedOn w:val="DefaultParagraphFont"/>
    <w:uiPriority w:val="99"/>
    <w:semiHidden/>
    <w:unhideWhenUsed/>
    <w:rsid w:val="00FE3E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68290">
      <w:bodyDiv w:val="1"/>
      <w:marLeft w:val="0"/>
      <w:marRight w:val="0"/>
      <w:marTop w:val="0"/>
      <w:marBottom w:val="0"/>
      <w:divBdr>
        <w:top w:val="none" w:sz="0" w:space="0" w:color="auto"/>
        <w:left w:val="none" w:sz="0" w:space="0" w:color="auto"/>
        <w:bottom w:val="none" w:sz="0" w:space="0" w:color="auto"/>
        <w:right w:val="none" w:sz="0" w:space="0" w:color="auto"/>
      </w:divBdr>
    </w:div>
    <w:div w:id="272247833">
      <w:bodyDiv w:val="1"/>
      <w:marLeft w:val="0"/>
      <w:marRight w:val="0"/>
      <w:marTop w:val="0"/>
      <w:marBottom w:val="0"/>
      <w:divBdr>
        <w:top w:val="none" w:sz="0" w:space="0" w:color="auto"/>
        <w:left w:val="none" w:sz="0" w:space="0" w:color="auto"/>
        <w:bottom w:val="none" w:sz="0" w:space="0" w:color="auto"/>
        <w:right w:val="none" w:sz="0" w:space="0" w:color="auto"/>
      </w:divBdr>
    </w:div>
    <w:div w:id="398407268">
      <w:bodyDiv w:val="1"/>
      <w:marLeft w:val="0"/>
      <w:marRight w:val="0"/>
      <w:marTop w:val="0"/>
      <w:marBottom w:val="0"/>
      <w:divBdr>
        <w:top w:val="none" w:sz="0" w:space="0" w:color="auto"/>
        <w:left w:val="none" w:sz="0" w:space="0" w:color="auto"/>
        <w:bottom w:val="none" w:sz="0" w:space="0" w:color="auto"/>
        <w:right w:val="none" w:sz="0" w:space="0" w:color="auto"/>
      </w:divBdr>
    </w:div>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665783558">
      <w:bodyDiv w:val="1"/>
      <w:marLeft w:val="0"/>
      <w:marRight w:val="0"/>
      <w:marTop w:val="0"/>
      <w:marBottom w:val="0"/>
      <w:divBdr>
        <w:top w:val="none" w:sz="0" w:space="0" w:color="auto"/>
        <w:left w:val="none" w:sz="0" w:space="0" w:color="auto"/>
        <w:bottom w:val="none" w:sz="0" w:space="0" w:color="auto"/>
        <w:right w:val="none" w:sz="0" w:space="0" w:color="auto"/>
      </w:divBdr>
    </w:div>
    <w:div w:id="781650758">
      <w:bodyDiv w:val="1"/>
      <w:marLeft w:val="0"/>
      <w:marRight w:val="0"/>
      <w:marTop w:val="0"/>
      <w:marBottom w:val="0"/>
      <w:divBdr>
        <w:top w:val="none" w:sz="0" w:space="0" w:color="auto"/>
        <w:left w:val="none" w:sz="0" w:space="0" w:color="auto"/>
        <w:bottom w:val="none" w:sz="0" w:space="0" w:color="auto"/>
        <w:right w:val="none" w:sz="0" w:space="0" w:color="auto"/>
      </w:divBdr>
    </w:div>
    <w:div w:id="809052883">
      <w:bodyDiv w:val="1"/>
      <w:marLeft w:val="0"/>
      <w:marRight w:val="0"/>
      <w:marTop w:val="0"/>
      <w:marBottom w:val="0"/>
      <w:divBdr>
        <w:top w:val="none" w:sz="0" w:space="0" w:color="auto"/>
        <w:left w:val="none" w:sz="0" w:space="0" w:color="auto"/>
        <w:bottom w:val="none" w:sz="0" w:space="0" w:color="auto"/>
        <w:right w:val="none" w:sz="0" w:space="0" w:color="auto"/>
      </w:divBdr>
    </w:div>
    <w:div w:id="916019606">
      <w:bodyDiv w:val="1"/>
      <w:marLeft w:val="0"/>
      <w:marRight w:val="0"/>
      <w:marTop w:val="0"/>
      <w:marBottom w:val="0"/>
      <w:divBdr>
        <w:top w:val="none" w:sz="0" w:space="0" w:color="auto"/>
        <w:left w:val="none" w:sz="0" w:space="0" w:color="auto"/>
        <w:bottom w:val="none" w:sz="0" w:space="0" w:color="auto"/>
        <w:right w:val="none" w:sz="0" w:space="0" w:color="auto"/>
      </w:divBdr>
    </w:div>
    <w:div w:id="1087074601">
      <w:bodyDiv w:val="1"/>
      <w:marLeft w:val="0"/>
      <w:marRight w:val="0"/>
      <w:marTop w:val="0"/>
      <w:marBottom w:val="0"/>
      <w:divBdr>
        <w:top w:val="none" w:sz="0" w:space="0" w:color="auto"/>
        <w:left w:val="none" w:sz="0" w:space="0" w:color="auto"/>
        <w:bottom w:val="none" w:sz="0" w:space="0" w:color="auto"/>
        <w:right w:val="none" w:sz="0" w:space="0" w:color="auto"/>
      </w:divBdr>
    </w:div>
    <w:div w:id="1239632390">
      <w:bodyDiv w:val="1"/>
      <w:marLeft w:val="0"/>
      <w:marRight w:val="0"/>
      <w:marTop w:val="0"/>
      <w:marBottom w:val="0"/>
      <w:divBdr>
        <w:top w:val="none" w:sz="0" w:space="0" w:color="auto"/>
        <w:left w:val="none" w:sz="0" w:space="0" w:color="auto"/>
        <w:bottom w:val="none" w:sz="0" w:space="0" w:color="auto"/>
        <w:right w:val="none" w:sz="0" w:space="0" w:color="auto"/>
      </w:divBdr>
    </w:div>
    <w:div w:id="1411537597">
      <w:bodyDiv w:val="1"/>
      <w:marLeft w:val="0"/>
      <w:marRight w:val="0"/>
      <w:marTop w:val="0"/>
      <w:marBottom w:val="0"/>
      <w:divBdr>
        <w:top w:val="none" w:sz="0" w:space="0" w:color="auto"/>
        <w:left w:val="none" w:sz="0" w:space="0" w:color="auto"/>
        <w:bottom w:val="none" w:sz="0" w:space="0" w:color="auto"/>
        <w:right w:val="none" w:sz="0" w:space="0" w:color="auto"/>
      </w:divBdr>
    </w:div>
    <w:div w:id="1473249917">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647396065">
      <w:bodyDiv w:val="1"/>
      <w:marLeft w:val="0"/>
      <w:marRight w:val="0"/>
      <w:marTop w:val="0"/>
      <w:marBottom w:val="0"/>
      <w:divBdr>
        <w:top w:val="none" w:sz="0" w:space="0" w:color="auto"/>
        <w:left w:val="none" w:sz="0" w:space="0" w:color="auto"/>
        <w:bottom w:val="none" w:sz="0" w:space="0" w:color="auto"/>
        <w:right w:val="none" w:sz="0" w:space="0" w:color="auto"/>
      </w:divBdr>
    </w:div>
    <w:div w:id="1804542277">
      <w:bodyDiv w:val="1"/>
      <w:marLeft w:val="0"/>
      <w:marRight w:val="0"/>
      <w:marTop w:val="0"/>
      <w:marBottom w:val="0"/>
      <w:divBdr>
        <w:top w:val="none" w:sz="0" w:space="0" w:color="auto"/>
        <w:left w:val="none" w:sz="0" w:space="0" w:color="auto"/>
        <w:bottom w:val="none" w:sz="0" w:space="0" w:color="auto"/>
        <w:right w:val="none" w:sz="0" w:space="0" w:color="auto"/>
      </w:divBdr>
    </w:div>
    <w:div w:id="1806772149">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 w:id="1969387753">
      <w:bodyDiv w:val="1"/>
      <w:marLeft w:val="0"/>
      <w:marRight w:val="0"/>
      <w:marTop w:val="0"/>
      <w:marBottom w:val="0"/>
      <w:divBdr>
        <w:top w:val="none" w:sz="0" w:space="0" w:color="auto"/>
        <w:left w:val="none" w:sz="0" w:space="0" w:color="auto"/>
        <w:bottom w:val="none" w:sz="0" w:space="0" w:color="auto"/>
        <w:right w:val="none" w:sz="0" w:space="0" w:color="auto"/>
      </w:divBdr>
    </w:div>
    <w:div w:id="210078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ce.mortier@vandeput.fgov.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Delafortrie_Sarah\AppData\Local\Microsoft\Windows\Temporary%20Internet%20Files\Content.Outlook\UKSSJ3L2\Beatrice.collin@vandeput.fgov.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09BD2-46E6-47F8-A0D4-75BDDC02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2577</Words>
  <Characters>14179</Characters>
  <Application>Microsoft Office Word</Application>
  <DocSecurity>4</DocSecurity>
  <Lines>118</Lines>
  <Paragraphs>33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Belgian Defense</Company>
  <LinksUpToDate>false</LinksUpToDate>
  <CharactersWithSpaces>16723</CharactersWithSpaces>
  <SharedDoc>false</SharedDoc>
  <HyperlinkBase/>
  <HLinks>
    <vt:vector size="12" baseType="variant">
      <vt:variant>
        <vt:i4>720957</vt:i4>
      </vt:variant>
      <vt:variant>
        <vt:i4>-1</vt:i4>
      </vt:variant>
      <vt:variant>
        <vt:i4>2068</vt:i4>
      </vt:variant>
      <vt:variant>
        <vt:i4>1</vt:i4>
      </vt:variant>
      <vt:variant>
        <vt:lpwstr>brieftemplates-nl</vt:lpwstr>
      </vt:variant>
      <vt:variant>
        <vt:lpwstr/>
      </vt:variant>
      <vt:variant>
        <vt:i4>8060943</vt:i4>
      </vt:variant>
      <vt:variant>
        <vt:i4>-1</vt:i4>
      </vt:variant>
      <vt:variant>
        <vt:i4>2069</vt:i4>
      </vt:variant>
      <vt:variant>
        <vt:i4>1</vt:i4>
      </vt:variant>
      <vt:variant>
        <vt:lpwstr>brieftemplates-nlp2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Verresen</dc:creator>
  <cp:lastModifiedBy>Delafortrie Sarah</cp:lastModifiedBy>
  <cp:revision>2</cp:revision>
  <cp:lastPrinted>2017-11-10T08:24:00Z</cp:lastPrinted>
  <dcterms:created xsi:type="dcterms:W3CDTF">2017-11-10T08:59:00Z</dcterms:created>
  <dcterms:modified xsi:type="dcterms:W3CDTF">2017-11-10T08:59:00Z</dcterms:modified>
</cp:coreProperties>
</file>